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FC2C2" w14:textId="77777777" w:rsidR="008702AA" w:rsidRDefault="00AE5F90" w:rsidP="000C0009">
      <w:pPr>
        <w:rPr>
          <w:rFonts w:ascii="Times New Roman" w:hAnsi="Times New Roman"/>
          <w:b/>
          <w:sz w:val="22"/>
          <w:szCs w:val="22"/>
        </w:rPr>
      </w:pPr>
      <w:r w:rsidRPr="004E60BB">
        <w:rPr>
          <w:rFonts w:ascii="Times New Roman" w:hAnsi="Times New Roman"/>
          <w:b/>
          <w:sz w:val="22"/>
          <w:szCs w:val="22"/>
        </w:rPr>
        <w:t>PURPOSE</w:t>
      </w:r>
    </w:p>
    <w:p w14:paraId="7FFF4A24" w14:textId="77777777" w:rsidR="000C0009" w:rsidRDefault="000C0009" w:rsidP="000C0009">
      <w:pPr>
        <w:rPr>
          <w:rFonts w:ascii="Times New Roman" w:hAnsi="Times New Roman"/>
          <w:sz w:val="23"/>
          <w:szCs w:val="23"/>
        </w:rPr>
      </w:pPr>
    </w:p>
    <w:p w14:paraId="7FCC33B8" w14:textId="77777777" w:rsidR="004B683B" w:rsidRDefault="000C0009">
      <w:pPr>
        <w:rPr>
          <w:rFonts w:ascii="Times New Roman" w:hAnsi="Times New Roman"/>
          <w:sz w:val="23"/>
          <w:szCs w:val="23"/>
        </w:rPr>
      </w:pPr>
      <w:r>
        <w:rPr>
          <w:rFonts w:ascii="Times New Roman" w:hAnsi="Times New Roman"/>
          <w:sz w:val="23"/>
          <w:szCs w:val="23"/>
        </w:rPr>
        <w:t xml:space="preserve">This </w:t>
      </w:r>
      <w:r w:rsidR="004B683B">
        <w:rPr>
          <w:rFonts w:ascii="Times New Roman" w:hAnsi="Times New Roman"/>
          <w:sz w:val="23"/>
          <w:szCs w:val="23"/>
        </w:rPr>
        <w:t xml:space="preserve">policy </w:t>
      </w:r>
      <w:r w:rsidR="00350E53">
        <w:rPr>
          <w:rFonts w:ascii="Times New Roman" w:hAnsi="Times New Roman"/>
          <w:sz w:val="23"/>
          <w:szCs w:val="23"/>
        </w:rPr>
        <w:t>provide</w:t>
      </w:r>
      <w:r>
        <w:rPr>
          <w:rFonts w:ascii="Times New Roman" w:hAnsi="Times New Roman"/>
          <w:sz w:val="23"/>
          <w:szCs w:val="23"/>
        </w:rPr>
        <w:t>s</w:t>
      </w:r>
      <w:r w:rsidR="00350E53">
        <w:rPr>
          <w:rFonts w:ascii="Times New Roman" w:hAnsi="Times New Roman"/>
          <w:sz w:val="23"/>
          <w:szCs w:val="23"/>
        </w:rPr>
        <w:t xml:space="preserve"> Creighton University guidelines </w:t>
      </w:r>
      <w:r>
        <w:rPr>
          <w:rFonts w:ascii="Times New Roman" w:hAnsi="Times New Roman"/>
          <w:sz w:val="23"/>
          <w:szCs w:val="23"/>
        </w:rPr>
        <w:t>for</w:t>
      </w:r>
      <w:r w:rsidR="00B744B0">
        <w:rPr>
          <w:rFonts w:ascii="Times New Roman" w:hAnsi="Times New Roman"/>
          <w:sz w:val="23"/>
          <w:szCs w:val="23"/>
        </w:rPr>
        <w:t xml:space="preserve"> disposi</w:t>
      </w:r>
      <w:r w:rsidR="00087527">
        <w:rPr>
          <w:rFonts w:ascii="Times New Roman" w:hAnsi="Times New Roman"/>
          <w:sz w:val="23"/>
          <w:szCs w:val="23"/>
        </w:rPr>
        <w:t>ng and moving</w:t>
      </w:r>
      <w:r w:rsidR="00B744B0">
        <w:rPr>
          <w:rFonts w:ascii="Times New Roman" w:hAnsi="Times New Roman"/>
          <w:sz w:val="23"/>
          <w:szCs w:val="23"/>
        </w:rPr>
        <w:t xml:space="preserve"> fixed assets. </w:t>
      </w:r>
    </w:p>
    <w:p w14:paraId="57E928BB" w14:textId="77777777" w:rsidR="00AE5F90" w:rsidRPr="004E60BB" w:rsidRDefault="00AE5F90">
      <w:pPr>
        <w:rPr>
          <w:rFonts w:ascii="Times New Roman" w:hAnsi="Times New Roman"/>
          <w:sz w:val="22"/>
          <w:szCs w:val="22"/>
        </w:rPr>
      </w:pPr>
    </w:p>
    <w:p w14:paraId="26CC76C3" w14:textId="77777777" w:rsidR="00B830A5" w:rsidRPr="00B830A5" w:rsidRDefault="0094374C" w:rsidP="00B830A5">
      <w:pPr>
        <w:contextualSpacing/>
        <w:rPr>
          <w:rFonts w:ascii="Times New Roman" w:hAnsi="Times New Roman"/>
          <w:sz w:val="23"/>
          <w:szCs w:val="23"/>
        </w:rPr>
      </w:pPr>
      <w:r w:rsidRPr="00B830A5">
        <w:rPr>
          <w:rFonts w:ascii="Times New Roman" w:hAnsi="Times New Roman"/>
          <w:b/>
          <w:sz w:val="22"/>
          <w:szCs w:val="22"/>
        </w:rPr>
        <w:t>SCOPE</w:t>
      </w:r>
    </w:p>
    <w:p w14:paraId="0CF4CEBD" w14:textId="77777777" w:rsidR="00B830A5" w:rsidRPr="006702DA" w:rsidRDefault="0094374C" w:rsidP="0094374C">
      <w:pPr>
        <w:pStyle w:val="ListParagraph"/>
        <w:numPr>
          <w:ilvl w:val="0"/>
          <w:numId w:val="11"/>
        </w:numPr>
        <w:contextualSpacing/>
        <w:rPr>
          <w:rFonts w:ascii="Times New Roman" w:hAnsi="Times New Roman"/>
          <w:sz w:val="23"/>
          <w:szCs w:val="23"/>
        </w:rPr>
      </w:pPr>
      <w:r w:rsidRPr="006702DA">
        <w:rPr>
          <w:rFonts w:ascii="Times New Roman" w:hAnsi="Times New Roman"/>
          <w:b/>
          <w:sz w:val="23"/>
          <w:szCs w:val="23"/>
        </w:rPr>
        <w:t>Principal Investigator:</w:t>
      </w:r>
    </w:p>
    <w:p w14:paraId="26ABEF78" w14:textId="77777777" w:rsidR="0094374C" w:rsidRPr="006702DA" w:rsidRDefault="0094374C" w:rsidP="00B830A5">
      <w:pPr>
        <w:pStyle w:val="ListParagraph"/>
        <w:numPr>
          <w:ilvl w:val="1"/>
          <w:numId w:val="11"/>
        </w:numPr>
        <w:contextualSpacing/>
        <w:rPr>
          <w:rFonts w:ascii="Times New Roman" w:hAnsi="Times New Roman"/>
          <w:sz w:val="23"/>
          <w:szCs w:val="23"/>
        </w:rPr>
      </w:pPr>
      <w:r w:rsidRPr="006702DA">
        <w:rPr>
          <w:rFonts w:ascii="Times New Roman" w:hAnsi="Times New Roman"/>
          <w:sz w:val="23"/>
          <w:szCs w:val="23"/>
        </w:rPr>
        <w:t xml:space="preserve">Responsible for requesting disposition instructions from </w:t>
      </w:r>
      <w:r w:rsidR="006702DA">
        <w:rPr>
          <w:rFonts w:ascii="Times New Roman" w:hAnsi="Times New Roman"/>
          <w:sz w:val="23"/>
          <w:szCs w:val="23"/>
        </w:rPr>
        <w:t>Accounting Services for fixed assets purchased on federal sponsored projects</w:t>
      </w:r>
      <w:r w:rsidR="00686266">
        <w:rPr>
          <w:rFonts w:ascii="Times New Roman" w:hAnsi="Times New Roman"/>
          <w:sz w:val="23"/>
          <w:szCs w:val="23"/>
        </w:rPr>
        <w:t xml:space="preserve"> prior to disposal and in accordance with Purchasing Policy and Procedures section 4.6</w:t>
      </w:r>
      <w:r w:rsidRPr="006702DA">
        <w:rPr>
          <w:rFonts w:ascii="Times New Roman" w:hAnsi="Times New Roman"/>
          <w:sz w:val="23"/>
          <w:szCs w:val="23"/>
        </w:rPr>
        <w:t>.</w:t>
      </w:r>
    </w:p>
    <w:p w14:paraId="2D0E9B06" w14:textId="77777777" w:rsidR="00B830A5" w:rsidRPr="006702DA" w:rsidRDefault="0094374C" w:rsidP="0094374C">
      <w:pPr>
        <w:pStyle w:val="ListParagraph"/>
        <w:numPr>
          <w:ilvl w:val="0"/>
          <w:numId w:val="11"/>
        </w:numPr>
        <w:contextualSpacing/>
        <w:rPr>
          <w:rFonts w:ascii="Times New Roman" w:hAnsi="Times New Roman"/>
          <w:sz w:val="23"/>
          <w:szCs w:val="23"/>
        </w:rPr>
      </w:pPr>
      <w:r w:rsidRPr="006702DA">
        <w:rPr>
          <w:rFonts w:ascii="Times New Roman" w:hAnsi="Times New Roman"/>
          <w:b/>
          <w:sz w:val="23"/>
          <w:szCs w:val="23"/>
        </w:rPr>
        <w:t>Department Administrator:</w:t>
      </w:r>
    </w:p>
    <w:p w14:paraId="245DF326" w14:textId="6C0A7F38" w:rsidR="0094374C" w:rsidRPr="00A54E31" w:rsidRDefault="0094374C" w:rsidP="00B830A5">
      <w:pPr>
        <w:pStyle w:val="ListParagraph"/>
        <w:numPr>
          <w:ilvl w:val="1"/>
          <w:numId w:val="11"/>
        </w:numPr>
        <w:contextualSpacing/>
        <w:rPr>
          <w:rFonts w:ascii="Times New Roman" w:hAnsi="Times New Roman"/>
          <w:sz w:val="23"/>
          <w:szCs w:val="23"/>
        </w:rPr>
      </w:pPr>
      <w:r w:rsidRPr="00A54E31">
        <w:rPr>
          <w:rFonts w:ascii="Times New Roman" w:hAnsi="Times New Roman"/>
          <w:sz w:val="23"/>
          <w:szCs w:val="23"/>
        </w:rPr>
        <w:t xml:space="preserve"> Complete</w:t>
      </w:r>
      <w:r w:rsidR="00F501E0">
        <w:rPr>
          <w:rFonts w:ascii="Times New Roman" w:hAnsi="Times New Roman"/>
          <w:sz w:val="23"/>
          <w:szCs w:val="23"/>
        </w:rPr>
        <w:t xml:space="preserve"> </w:t>
      </w:r>
      <w:r w:rsidRPr="00A54E31">
        <w:rPr>
          <w:rFonts w:ascii="Times New Roman" w:hAnsi="Times New Roman"/>
          <w:sz w:val="23"/>
          <w:szCs w:val="23"/>
        </w:rPr>
        <w:t xml:space="preserve">the </w:t>
      </w:r>
      <w:hyperlink r:id="rId8" w:history="1">
        <w:r w:rsidRPr="00A54E31">
          <w:rPr>
            <w:rStyle w:val="Hyperlink"/>
            <w:rFonts w:ascii="Times New Roman" w:hAnsi="Times New Roman"/>
            <w:color w:val="auto"/>
            <w:sz w:val="23"/>
            <w:szCs w:val="23"/>
          </w:rPr>
          <w:t>Asset Disposal/Move Form</w:t>
        </w:r>
      </w:hyperlink>
      <w:r w:rsidRPr="00A54E31">
        <w:rPr>
          <w:rStyle w:val="Hyperlink"/>
          <w:rFonts w:ascii="Times New Roman" w:hAnsi="Times New Roman"/>
          <w:color w:val="auto"/>
          <w:sz w:val="23"/>
          <w:szCs w:val="23"/>
          <w:u w:val="none"/>
        </w:rPr>
        <w:t>, if disposing or moving an asset</w:t>
      </w:r>
      <w:r w:rsidR="00F501E0">
        <w:rPr>
          <w:rStyle w:val="Hyperlink"/>
          <w:rFonts w:ascii="Times New Roman" w:hAnsi="Times New Roman"/>
          <w:color w:val="auto"/>
          <w:sz w:val="23"/>
          <w:szCs w:val="23"/>
        </w:rPr>
        <w:t>, and return to Accounting Services</w:t>
      </w:r>
    </w:p>
    <w:p w14:paraId="4345B499" w14:textId="77777777" w:rsidR="00B830A5" w:rsidRDefault="0094374C" w:rsidP="0094374C">
      <w:pPr>
        <w:pStyle w:val="ListParagraph"/>
        <w:numPr>
          <w:ilvl w:val="0"/>
          <w:numId w:val="11"/>
        </w:numPr>
        <w:contextualSpacing/>
        <w:rPr>
          <w:rFonts w:ascii="Times New Roman" w:hAnsi="Times New Roman"/>
          <w:sz w:val="23"/>
          <w:szCs w:val="23"/>
        </w:rPr>
      </w:pPr>
      <w:r w:rsidRPr="00A54E31">
        <w:rPr>
          <w:rFonts w:ascii="Times New Roman" w:hAnsi="Times New Roman"/>
          <w:b/>
          <w:sz w:val="23"/>
          <w:szCs w:val="23"/>
        </w:rPr>
        <w:t>Accounting Services Personnel:</w:t>
      </w:r>
      <w:r w:rsidRPr="00A54E31">
        <w:rPr>
          <w:rFonts w:ascii="Times New Roman" w:hAnsi="Times New Roman"/>
          <w:sz w:val="23"/>
          <w:szCs w:val="23"/>
        </w:rPr>
        <w:t xml:space="preserve"> </w:t>
      </w:r>
    </w:p>
    <w:p w14:paraId="642E2979" w14:textId="77777777" w:rsidR="00686266" w:rsidRPr="0076482B" w:rsidRDefault="0094374C" w:rsidP="0076482B">
      <w:pPr>
        <w:pStyle w:val="ListParagraph"/>
        <w:numPr>
          <w:ilvl w:val="1"/>
          <w:numId w:val="11"/>
        </w:numPr>
        <w:contextualSpacing/>
        <w:rPr>
          <w:rFonts w:ascii="Times New Roman" w:hAnsi="Times New Roman"/>
          <w:sz w:val="23"/>
          <w:szCs w:val="23"/>
        </w:rPr>
      </w:pPr>
      <w:r w:rsidRPr="0076482B">
        <w:rPr>
          <w:rFonts w:ascii="Times New Roman" w:hAnsi="Times New Roman"/>
          <w:sz w:val="23"/>
          <w:szCs w:val="23"/>
        </w:rPr>
        <w:t xml:space="preserve">Responsible for removing the assets from </w:t>
      </w:r>
      <w:r w:rsidR="00B830A5" w:rsidRPr="0076482B">
        <w:rPr>
          <w:rFonts w:ascii="Times New Roman" w:hAnsi="Times New Roman"/>
          <w:sz w:val="23"/>
          <w:szCs w:val="23"/>
        </w:rPr>
        <w:t xml:space="preserve">the </w:t>
      </w:r>
      <w:r w:rsidRPr="0076482B">
        <w:rPr>
          <w:rFonts w:ascii="Times New Roman" w:hAnsi="Times New Roman"/>
          <w:sz w:val="23"/>
          <w:szCs w:val="23"/>
        </w:rPr>
        <w:t>F</w:t>
      </w:r>
      <w:r w:rsidR="00B830A5" w:rsidRPr="0076482B">
        <w:rPr>
          <w:rFonts w:ascii="Times New Roman" w:hAnsi="Times New Roman"/>
          <w:sz w:val="23"/>
          <w:szCs w:val="23"/>
        </w:rPr>
        <w:t xml:space="preserve">ixed </w:t>
      </w:r>
      <w:r w:rsidRPr="0076482B">
        <w:rPr>
          <w:rFonts w:ascii="Times New Roman" w:hAnsi="Times New Roman"/>
          <w:sz w:val="23"/>
          <w:szCs w:val="23"/>
        </w:rPr>
        <w:t>A</w:t>
      </w:r>
      <w:r w:rsidR="00B830A5" w:rsidRPr="0076482B">
        <w:rPr>
          <w:rFonts w:ascii="Times New Roman" w:hAnsi="Times New Roman"/>
          <w:sz w:val="23"/>
          <w:szCs w:val="23"/>
        </w:rPr>
        <w:t xml:space="preserve">sset </w:t>
      </w:r>
      <w:r w:rsidRPr="0076482B">
        <w:rPr>
          <w:rFonts w:ascii="Times New Roman" w:hAnsi="Times New Roman"/>
          <w:sz w:val="23"/>
          <w:szCs w:val="23"/>
        </w:rPr>
        <w:t>S</w:t>
      </w:r>
      <w:r w:rsidR="00B830A5" w:rsidRPr="0076482B">
        <w:rPr>
          <w:rFonts w:ascii="Times New Roman" w:hAnsi="Times New Roman"/>
          <w:sz w:val="23"/>
          <w:szCs w:val="23"/>
        </w:rPr>
        <w:t>ystem</w:t>
      </w:r>
      <w:r w:rsidRPr="0076482B">
        <w:rPr>
          <w:rFonts w:ascii="Times New Roman" w:hAnsi="Times New Roman"/>
          <w:sz w:val="23"/>
          <w:szCs w:val="23"/>
        </w:rPr>
        <w:t xml:space="preserve"> and Banner when an asset is sold</w:t>
      </w:r>
      <w:r w:rsidR="0076482B">
        <w:rPr>
          <w:rFonts w:ascii="Times New Roman" w:hAnsi="Times New Roman"/>
          <w:sz w:val="23"/>
          <w:szCs w:val="23"/>
        </w:rPr>
        <w:t xml:space="preserve"> or disposed</w:t>
      </w:r>
      <w:r w:rsidRPr="0076482B">
        <w:rPr>
          <w:rFonts w:ascii="Times New Roman" w:hAnsi="Times New Roman"/>
          <w:sz w:val="23"/>
          <w:szCs w:val="23"/>
        </w:rPr>
        <w:t xml:space="preserve">, and for changing the location of assets in FAS once the Asset Disposal/Move Form is </w:t>
      </w:r>
      <w:r w:rsidR="00B830A5" w:rsidRPr="0076482B">
        <w:rPr>
          <w:rFonts w:ascii="Times New Roman" w:hAnsi="Times New Roman"/>
          <w:sz w:val="23"/>
          <w:szCs w:val="23"/>
        </w:rPr>
        <w:t>received</w:t>
      </w:r>
      <w:r w:rsidRPr="0076482B">
        <w:rPr>
          <w:rFonts w:ascii="Times New Roman" w:hAnsi="Times New Roman"/>
          <w:sz w:val="23"/>
          <w:szCs w:val="23"/>
        </w:rPr>
        <w:t>.</w:t>
      </w:r>
      <w:r w:rsidR="00686266" w:rsidRPr="0076482B">
        <w:rPr>
          <w:rFonts w:ascii="Times New Roman" w:hAnsi="Times New Roman"/>
          <w:sz w:val="23"/>
          <w:szCs w:val="23"/>
        </w:rPr>
        <w:t xml:space="preserve">  </w:t>
      </w:r>
      <w:r w:rsidR="0094543E">
        <w:rPr>
          <w:rFonts w:ascii="Times New Roman" w:hAnsi="Times New Roman"/>
          <w:sz w:val="23"/>
          <w:szCs w:val="23"/>
        </w:rPr>
        <w:t>Responsible for obtaining disposition instructions from the federal agency, if the asset has a value over $5,000 and coordinating the payment of proceeds received back to the federal agency.</w:t>
      </w:r>
    </w:p>
    <w:p w14:paraId="59F9E344" w14:textId="77777777" w:rsidR="00801D1E" w:rsidRPr="000840DF" w:rsidRDefault="00801D1E" w:rsidP="00801D1E">
      <w:pPr>
        <w:widowControl/>
        <w:numPr>
          <w:ilvl w:val="0"/>
          <w:numId w:val="11"/>
        </w:numPr>
        <w:overflowPunct/>
        <w:autoSpaceDE/>
        <w:adjustRightInd/>
        <w:textAlignment w:val="auto"/>
        <w:rPr>
          <w:rFonts w:ascii="Times New Roman" w:hAnsi="Times New Roman"/>
          <w:b/>
          <w:color w:val="000000" w:themeColor="text1"/>
          <w:sz w:val="23"/>
          <w:szCs w:val="23"/>
        </w:rPr>
      </w:pPr>
      <w:r w:rsidRPr="000840DF">
        <w:rPr>
          <w:rFonts w:ascii="Times New Roman" w:hAnsi="Times New Roman"/>
          <w:b/>
          <w:color w:val="000000" w:themeColor="text1"/>
          <w:sz w:val="23"/>
          <w:szCs w:val="23"/>
        </w:rPr>
        <w:t>Internal Audit Personnel, Associate Vice Provost for Research and Scholarship, Provost/Vice Presidents/Vice Provosts, Deans, Department Charis, Directors or any other personnel who are involved with or have oversight of activities or spending of resources for sponsored projects:</w:t>
      </w:r>
    </w:p>
    <w:p w14:paraId="62909F83" w14:textId="77777777" w:rsidR="00801D1E" w:rsidRPr="000840DF" w:rsidRDefault="00801D1E" w:rsidP="00801D1E">
      <w:pPr>
        <w:widowControl/>
        <w:numPr>
          <w:ilvl w:val="1"/>
          <w:numId w:val="11"/>
        </w:numPr>
        <w:overflowPunct/>
        <w:autoSpaceDE/>
        <w:adjustRightInd/>
        <w:textAlignment w:val="auto"/>
        <w:rPr>
          <w:rFonts w:ascii="Times New Roman" w:hAnsi="Times New Roman"/>
          <w:color w:val="000000" w:themeColor="text1"/>
          <w:sz w:val="23"/>
          <w:szCs w:val="23"/>
        </w:rPr>
      </w:pPr>
      <w:r w:rsidRPr="000840DF">
        <w:rPr>
          <w:rFonts w:ascii="Times New Roman" w:hAnsi="Times New Roman"/>
          <w:color w:val="000000" w:themeColor="text1"/>
          <w:sz w:val="23"/>
          <w:szCs w:val="23"/>
        </w:rPr>
        <w:t>Apply these policies in their duties over sponsored projects</w:t>
      </w:r>
    </w:p>
    <w:p w14:paraId="61444F70" w14:textId="77777777" w:rsidR="0094374C" w:rsidRDefault="0094374C">
      <w:pPr>
        <w:rPr>
          <w:rFonts w:ascii="Times New Roman" w:hAnsi="Times New Roman"/>
          <w:color w:val="000000" w:themeColor="text1"/>
        </w:rPr>
      </w:pPr>
    </w:p>
    <w:p w14:paraId="14A85647" w14:textId="77777777" w:rsidR="007A6CAA" w:rsidRDefault="007A6CAA">
      <w:pPr>
        <w:rPr>
          <w:rFonts w:ascii="Times New Roman" w:hAnsi="Times New Roman"/>
          <w:b/>
          <w:sz w:val="22"/>
          <w:szCs w:val="22"/>
        </w:rPr>
      </w:pPr>
    </w:p>
    <w:p w14:paraId="1902AC6D" w14:textId="77777777" w:rsidR="008702AA" w:rsidRDefault="00AE5F90">
      <w:pPr>
        <w:rPr>
          <w:rFonts w:ascii="Times New Roman" w:hAnsi="Times New Roman"/>
          <w:b/>
          <w:sz w:val="22"/>
          <w:szCs w:val="22"/>
        </w:rPr>
      </w:pPr>
      <w:r w:rsidRPr="004E60BB">
        <w:rPr>
          <w:rFonts w:ascii="Times New Roman" w:hAnsi="Times New Roman"/>
          <w:b/>
          <w:sz w:val="22"/>
          <w:szCs w:val="22"/>
        </w:rPr>
        <w:t>POLICY</w:t>
      </w:r>
    </w:p>
    <w:p w14:paraId="169D81C8" w14:textId="77777777" w:rsidR="002B4755" w:rsidRDefault="002B4755"/>
    <w:p w14:paraId="33888144" w14:textId="1F43B976" w:rsidR="00AE56A8" w:rsidRDefault="00B744B0" w:rsidP="00B744B0">
      <w:pPr>
        <w:widowControl/>
        <w:overflowPunct/>
        <w:autoSpaceDE/>
        <w:autoSpaceDN/>
        <w:adjustRightInd/>
        <w:textAlignment w:val="auto"/>
        <w:rPr>
          <w:rFonts w:ascii="Times New Roman" w:hAnsi="Times New Roman"/>
          <w:sz w:val="23"/>
          <w:szCs w:val="23"/>
        </w:rPr>
      </w:pPr>
      <w:r w:rsidRPr="00283FA3">
        <w:rPr>
          <w:rFonts w:ascii="Times New Roman" w:hAnsi="Times New Roman"/>
          <w:sz w:val="23"/>
          <w:szCs w:val="23"/>
        </w:rPr>
        <w:t>Since all fi</w:t>
      </w:r>
      <w:r>
        <w:rPr>
          <w:rFonts w:ascii="Times New Roman" w:hAnsi="Times New Roman"/>
          <w:sz w:val="23"/>
          <w:szCs w:val="23"/>
        </w:rPr>
        <w:t xml:space="preserve">xed assets over a </w:t>
      </w:r>
      <w:r w:rsidR="007A6CAA">
        <w:rPr>
          <w:rFonts w:ascii="Times New Roman" w:hAnsi="Times New Roman"/>
          <w:sz w:val="23"/>
          <w:szCs w:val="23"/>
        </w:rPr>
        <w:t xml:space="preserve">$5,000 </w:t>
      </w:r>
      <w:r>
        <w:rPr>
          <w:rFonts w:ascii="Times New Roman" w:hAnsi="Times New Roman"/>
          <w:sz w:val="23"/>
          <w:szCs w:val="23"/>
        </w:rPr>
        <w:t>threshold</w:t>
      </w:r>
      <w:r w:rsidRPr="00283FA3">
        <w:rPr>
          <w:rFonts w:ascii="Times New Roman" w:hAnsi="Times New Roman"/>
          <w:sz w:val="23"/>
          <w:szCs w:val="23"/>
        </w:rPr>
        <w:t xml:space="preserve"> are tagged when they are acquired to help the University track their whereabouts, </w:t>
      </w:r>
      <w:r>
        <w:rPr>
          <w:rFonts w:ascii="Times New Roman" w:hAnsi="Times New Roman"/>
          <w:sz w:val="23"/>
          <w:szCs w:val="23"/>
        </w:rPr>
        <w:t>Accounting Services</w:t>
      </w:r>
      <w:r w:rsidRPr="00283FA3">
        <w:rPr>
          <w:rFonts w:ascii="Times New Roman" w:hAnsi="Times New Roman"/>
          <w:sz w:val="23"/>
          <w:szCs w:val="23"/>
        </w:rPr>
        <w:t xml:space="preserve"> </w:t>
      </w:r>
      <w:r>
        <w:rPr>
          <w:rFonts w:ascii="Times New Roman" w:hAnsi="Times New Roman"/>
          <w:sz w:val="23"/>
          <w:szCs w:val="23"/>
        </w:rPr>
        <w:t xml:space="preserve">must be </w:t>
      </w:r>
      <w:r w:rsidRPr="00283FA3">
        <w:rPr>
          <w:rFonts w:ascii="Times New Roman" w:hAnsi="Times New Roman"/>
          <w:sz w:val="23"/>
          <w:szCs w:val="23"/>
        </w:rPr>
        <w:t xml:space="preserve">advised of their movement </w:t>
      </w:r>
      <w:r w:rsidR="007A6CAA">
        <w:rPr>
          <w:rFonts w:ascii="Times New Roman" w:hAnsi="Times New Roman"/>
          <w:sz w:val="23"/>
          <w:szCs w:val="23"/>
        </w:rPr>
        <w:t>and/</w:t>
      </w:r>
      <w:r w:rsidRPr="00283FA3">
        <w:rPr>
          <w:rFonts w:ascii="Times New Roman" w:hAnsi="Times New Roman"/>
          <w:sz w:val="23"/>
          <w:szCs w:val="23"/>
        </w:rPr>
        <w:t>or eventual disposa</w:t>
      </w:r>
      <w:r>
        <w:rPr>
          <w:rFonts w:ascii="Times New Roman" w:hAnsi="Times New Roman"/>
          <w:sz w:val="23"/>
          <w:szCs w:val="23"/>
        </w:rPr>
        <w:t>l. Until Accounting Services</w:t>
      </w:r>
      <w:r w:rsidRPr="00283FA3">
        <w:rPr>
          <w:rFonts w:ascii="Times New Roman" w:hAnsi="Times New Roman"/>
          <w:sz w:val="23"/>
          <w:szCs w:val="23"/>
        </w:rPr>
        <w:t xml:space="preserve"> is properly notified of a fixed asset</w:t>
      </w:r>
      <w:r>
        <w:rPr>
          <w:rFonts w:ascii="Times New Roman" w:hAnsi="Times New Roman"/>
          <w:sz w:val="23"/>
          <w:szCs w:val="23"/>
        </w:rPr>
        <w:t>’</w:t>
      </w:r>
      <w:r w:rsidRPr="00283FA3">
        <w:rPr>
          <w:rFonts w:ascii="Times New Roman" w:hAnsi="Times New Roman"/>
          <w:sz w:val="23"/>
          <w:szCs w:val="23"/>
        </w:rPr>
        <w:t>s disposal or movement and the F</w:t>
      </w:r>
      <w:r w:rsidR="0094374C">
        <w:rPr>
          <w:rFonts w:ascii="Times New Roman" w:hAnsi="Times New Roman"/>
          <w:sz w:val="23"/>
          <w:szCs w:val="23"/>
        </w:rPr>
        <w:t xml:space="preserve">ixed </w:t>
      </w:r>
      <w:r w:rsidRPr="00283FA3">
        <w:rPr>
          <w:rFonts w:ascii="Times New Roman" w:hAnsi="Times New Roman"/>
          <w:sz w:val="23"/>
          <w:szCs w:val="23"/>
        </w:rPr>
        <w:t>A</w:t>
      </w:r>
      <w:r w:rsidR="0094374C">
        <w:rPr>
          <w:rFonts w:ascii="Times New Roman" w:hAnsi="Times New Roman"/>
          <w:sz w:val="23"/>
          <w:szCs w:val="23"/>
        </w:rPr>
        <w:t xml:space="preserve">sset </w:t>
      </w:r>
      <w:r>
        <w:rPr>
          <w:rFonts w:ascii="Times New Roman" w:hAnsi="Times New Roman"/>
          <w:sz w:val="23"/>
          <w:szCs w:val="23"/>
        </w:rPr>
        <w:t>S</w:t>
      </w:r>
      <w:r w:rsidR="0094374C">
        <w:rPr>
          <w:rFonts w:ascii="Times New Roman" w:hAnsi="Times New Roman"/>
          <w:sz w:val="23"/>
          <w:szCs w:val="23"/>
        </w:rPr>
        <w:t>ystem</w:t>
      </w:r>
      <w:r w:rsidRPr="00283FA3">
        <w:rPr>
          <w:rFonts w:ascii="Times New Roman" w:hAnsi="Times New Roman"/>
          <w:sz w:val="23"/>
          <w:szCs w:val="23"/>
        </w:rPr>
        <w:t xml:space="preserve"> is updated, the department will continue to be held accountable for that asset</w:t>
      </w:r>
      <w:r w:rsidR="007A6CAA">
        <w:rPr>
          <w:rFonts w:ascii="Times New Roman" w:hAnsi="Times New Roman"/>
          <w:sz w:val="23"/>
          <w:szCs w:val="23"/>
        </w:rPr>
        <w:t xml:space="preserve"> in the location last reported</w:t>
      </w:r>
      <w:r w:rsidRPr="00283FA3">
        <w:rPr>
          <w:rFonts w:ascii="Times New Roman" w:hAnsi="Times New Roman"/>
          <w:sz w:val="23"/>
          <w:szCs w:val="23"/>
        </w:rPr>
        <w:t>. The timely and accurate reporting of asset disposals (along with any salvage proceeds) and moves will help ensure the accuracy of University</w:t>
      </w:r>
      <w:r>
        <w:rPr>
          <w:rFonts w:ascii="Times New Roman" w:hAnsi="Times New Roman"/>
          <w:sz w:val="23"/>
          <w:szCs w:val="23"/>
        </w:rPr>
        <w:t>’</w:t>
      </w:r>
      <w:r w:rsidRPr="00283FA3">
        <w:rPr>
          <w:rFonts w:ascii="Times New Roman" w:hAnsi="Times New Roman"/>
          <w:sz w:val="23"/>
          <w:szCs w:val="23"/>
        </w:rPr>
        <w:t>s accounting records</w:t>
      </w:r>
      <w:r w:rsidR="007A6CAA">
        <w:rPr>
          <w:rFonts w:ascii="Times New Roman" w:hAnsi="Times New Roman"/>
          <w:sz w:val="23"/>
          <w:szCs w:val="23"/>
        </w:rPr>
        <w:t xml:space="preserve">, </w:t>
      </w:r>
      <w:r w:rsidRPr="00283FA3">
        <w:rPr>
          <w:rFonts w:ascii="Times New Roman" w:hAnsi="Times New Roman"/>
          <w:sz w:val="23"/>
          <w:szCs w:val="23"/>
        </w:rPr>
        <w:t>reduce departmental time in reconciling and reviewing exceptions generated</w:t>
      </w:r>
      <w:r w:rsidRPr="00283FA3">
        <w:rPr>
          <w:rFonts w:ascii="Times New Roman" w:hAnsi="Times New Roman"/>
          <w:color w:val="666666"/>
          <w:sz w:val="23"/>
          <w:szCs w:val="23"/>
          <w:lang w:val="en"/>
        </w:rPr>
        <w:t xml:space="preserve"> </w:t>
      </w:r>
      <w:r w:rsidRPr="00283FA3">
        <w:rPr>
          <w:rFonts w:ascii="Times New Roman" w:hAnsi="Times New Roman"/>
          <w:sz w:val="23"/>
          <w:szCs w:val="23"/>
        </w:rPr>
        <w:t>from the physical inventory</w:t>
      </w:r>
      <w:r w:rsidR="00F501E0">
        <w:rPr>
          <w:rFonts w:ascii="Times New Roman" w:hAnsi="Times New Roman"/>
          <w:sz w:val="23"/>
          <w:szCs w:val="23"/>
        </w:rPr>
        <w:t>,</w:t>
      </w:r>
      <w:r w:rsidR="007A6CAA">
        <w:rPr>
          <w:rFonts w:ascii="Times New Roman" w:hAnsi="Times New Roman"/>
          <w:sz w:val="23"/>
          <w:szCs w:val="23"/>
        </w:rPr>
        <w:t xml:space="preserve"> and ensure compliance with Federal and sponsor requirements</w:t>
      </w:r>
      <w:r w:rsidRPr="00283FA3">
        <w:rPr>
          <w:rFonts w:ascii="Times New Roman" w:hAnsi="Times New Roman"/>
          <w:sz w:val="23"/>
          <w:szCs w:val="23"/>
        </w:rPr>
        <w:t>.</w:t>
      </w:r>
    </w:p>
    <w:p w14:paraId="042E9D1E" w14:textId="77777777" w:rsidR="00AE56A8" w:rsidRDefault="00AE56A8">
      <w:pPr>
        <w:widowControl/>
        <w:overflowPunct/>
        <w:autoSpaceDE/>
        <w:autoSpaceDN/>
        <w:adjustRightInd/>
        <w:textAlignment w:val="auto"/>
        <w:rPr>
          <w:rFonts w:ascii="Times New Roman" w:hAnsi="Times New Roman"/>
          <w:sz w:val="23"/>
          <w:szCs w:val="23"/>
        </w:rPr>
      </w:pPr>
      <w:r>
        <w:rPr>
          <w:rFonts w:ascii="Times New Roman" w:hAnsi="Times New Roman"/>
          <w:sz w:val="23"/>
          <w:szCs w:val="23"/>
        </w:rPr>
        <w:br w:type="page"/>
      </w:r>
    </w:p>
    <w:p w14:paraId="58C2E40C" w14:textId="77777777" w:rsidR="00B744B0" w:rsidRPr="00246E25" w:rsidRDefault="00B744B0" w:rsidP="00B744B0">
      <w:pPr>
        <w:pStyle w:val="ListParagraph"/>
        <w:ind w:left="0"/>
        <w:rPr>
          <w:rFonts w:ascii="Times New Roman" w:hAnsi="Times New Roman"/>
          <w:b/>
          <w:i/>
          <w:sz w:val="23"/>
          <w:szCs w:val="23"/>
        </w:rPr>
      </w:pPr>
      <w:r w:rsidRPr="00246E25">
        <w:rPr>
          <w:rFonts w:ascii="Times New Roman" w:hAnsi="Times New Roman"/>
          <w:b/>
          <w:i/>
          <w:sz w:val="23"/>
          <w:szCs w:val="23"/>
        </w:rPr>
        <w:lastRenderedPageBreak/>
        <w:t xml:space="preserve">Disposal of </w:t>
      </w:r>
      <w:r>
        <w:rPr>
          <w:rFonts w:ascii="Times New Roman" w:hAnsi="Times New Roman"/>
          <w:b/>
          <w:i/>
          <w:sz w:val="23"/>
          <w:szCs w:val="23"/>
        </w:rPr>
        <w:t>F</w:t>
      </w:r>
      <w:r w:rsidRPr="00246E25">
        <w:rPr>
          <w:rFonts w:ascii="Times New Roman" w:hAnsi="Times New Roman"/>
          <w:b/>
          <w:i/>
          <w:sz w:val="23"/>
          <w:szCs w:val="23"/>
        </w:rPr>
        <w:t xml:space="preserve">ederally </w:t>
      </w:r>
      <w:r>
        <w:rPr>
          <w:rFonts w:ascii="Times New Roman" w:hAnsi="Times New Roman"/>
          <w:b/>
          <w:i/>
          <w:sz w:val="23"/>
          <w:szCs w:val="23"/>
        </w:rPr>
        <w:t>F</w:t>
      </w:r>
      <w:r w:rsidRPr="00246E25">
        <w:rPr>
          <w:rFonts w:ascii="Times New Roman" w:hAnsi="Times New Roman"/>
          <w:b/>
          <w:i/>
          <w:sz w:val="23"/>
          <w:szCs w:val="23"/>
        </w:rPr>
        <w:t xml:space="preserve">unded </w:t>
      </w:r>
      <w:r>
        <w:rPr>
          <w:rFonts w:ascii="Times New Roman" w:hAnsi="Times New Roman"/>
          <w:b/>
          <w:i/>
          <w:sz w:val="23"/>
          <w:szCs w:val="23"/>
        </w:rPr>
        <w:t>E</w:t>
      </w:r>
      <w:r w:rsidRPr="00246E25">
        <w:rPr>
          <w:rFonts w:ascii="Times New Roman" w:hAnsi="Times New Roman"/>
          <w:b/>
          <w:i/>
          <w:sz w:val="23"/>
          <w:szCs w:val="23"/>
        </w:rPr>
        <w:t>quipment</w:t>
      </w:r>
    </w:p>
    <w:p w14:paraId="4F409BB6" w14:textId="0B4E32B0" w:rsidR="00395EAE" w:rsidRDefault="00395EAE" w:rsidP="00B744B0">
      <w:pPr>
        <w:pStyle w:val="ListParagraph"/>
        <w:ind w:left="0"/>
        <w:rPr>
          <w:rFonts w:ascii="Times New Roman" w:hAnsi="Times New Roman"/>
          <w:sz w:val="23"/>
          <w:szCs w:val="23"/>
        </w:rPr>
      </w:pPr>
      <w:r>
        <w:rPr>
          <w:rFonts w:ascii="Times New Roman" w:hAnsi="Times New Roman"/>
          <w:sz w:val="23"/>
          <w:szCs w:val="23"/>
        </w:rPr>
        <w:t xml:space="preserve">When original or replacement equipment acquired under a Federal award is no longer needed for the original project or program or for other activities currently or previously supported by a Federal awarding agency, Creighton must request disposition instructions from the Federal awarding agency, </w:t>
      </w:r>
      <w:r w:rsidR="007A6CAA">
        <w:rPr>
          <w:rFonts w:ascii="Times New Roman" w:hAnsi="Times New Roman"/>
          <w:sz w:val="23"/>
          <w:szCs w:val="23"/>
        </w:rPr>
        <w:t xml:space="preserve">as </w:t>
      </w:r>
      <w:r>
        <w:rPr>
          <w:rFonts w:ascii="Times New Roman" w:hAnsi="Times New Roman"/>
          <w:sz w:val="23"/>
          <w:szCs w:val="23"/>
        </w:rPr>
        <w:t xml:space="preserve">required by the terms and conditions of the Federal award. </w:t>
      </w:r>
    </w:p>
    <w:p w14:paraId="7CA2704D" w14:textId="77777777" w:rsidR="00395EAE" w:rsidRDefault="00395EAE" w:rsidP="00B744B0">
      <w:pPr>
        <w:pStyle w:val="ListParagraph"/>
        <w:ind w:left="0"/>
        <w:rPr>
          <w:rFonts w:ascii="Times New Roman" w:hAnsi="Times New Roman"/>
          <w:sz w:val="23"/>
          <w:szCs w:val="23"/>
        </w:rPr>
      </w:pPr>
    </w:p>
    <w:p w14:paraId="7EBB3C58" w14:textId="77777777" w:rsidR="00B744B0" w:rsidRDefault="00B744B0" w:rsidP="00B744B0">
      <w:pPr>
        <w:pStyle w:val="ListParagraph"/>
        <w:ind w:left="0"/>
        <w:rPr>
          <w:rFonts w:ascii="Times New Roman" w:hAnsi="Times New Roman"/>
          <w:sz w:val="23"/>
          <w:szCs w:val="23"/>
        </w:rPr>
      </w:pPr>
      <w:r>
        <w:rPr>
          <w:rFonts w:ascii="Times New Roman" w:hAnsi="Times New Roman"/>
          <w:sz w:val="23"/>
          <w:szCs w:val="23"/>
        </w:rPr>
        <w:t>If the federal agency authorizes Creighton University to sell an asset, Creighton must ensure the highest possible return.</w:t>
      </w:r>
    </w:p>
    <w:p w14:paraId="7006FE44" w14:textId="77777777" w:rsidR="00B744B0" w:rsidRDefault="00B744B0" w:rsidP="00B744B0">
      <w:pPr>
        <w:pStyle w:val="ListParagraph"/>
        <w:ind w:left="0"/>
        <w:rPr>
          <w:rFonts w:ascii="Times New Roman" w:hAnsi="Times New Roman"/>
          <w:sz w:val="23"/>
          <w:szCs w:val="23"/>
        </w:rPr>
      </w:pPr>
    </w:p>
    <w:p w14:paraId="5755721C" w14:textId="77777777" w:rsidR="00B744B0" w:rsidRPr="00784CBE" w:rsidRDefault="00B744B0" w:rsidP="00B744B0">
      <w:pPr>
        <w:pStyle w:val="ListParagraph"/>
        <w:ind w:left="0"/>
        <w:rPr>
          <w:rFonts w:ascii="Times New Roman" w:hAnsi="Times New Roman"/>
          <w:sz w:val="23"/>
          <w:szCs w:val="23"/>
        </w:rPr>
      </w:pPr>
      <w:r w:rsidRPr="00784CBE">
        <w:rPr>
          <w:rFonts w:ascii="Times New Roman" w:hAnsi="Times New Roman"/>
          <w:sz w:val="23"/>
          <w:szCs w:val="23"/>
        </w:rPr>
        <w:t>Disposition of federally fund</w:t>
      </w:r>
      <w:r>
        <w:rPr>
          <w:rFonts w:ascii="Times New Roman" w:hAnsi="Times New Roman"/>
          <w:sz w:val="23"/>
          <w:szCs w:val="23"/>
        </w:rPr>
        <w:t>ed</w:t>
      </w:r>
      <w:r w:rsidRPr="00784CBE">
        <w:rPr>
          <w:rFonts w:ascii="Times New Roman" w:hAnsi="Times New Roman"/>
          <w:sz w:val="23"/>
          <w:szCs w:val="23"/>
        </w:rPr>
        <w:t xml:space="preserve"> equipment will be made as follows, </w:t>
      </w:r>
      <w:r w:rsidR="007A6CAA">
        <w:rPr>
          <w:rFonts w:ascii="Times New Roman" w:hAnsi="Times New Roman"/>
          <w:sz w:val="23"/>
          <w:szCs w:val="23"/>
        </w:rPr>
        <w:t xml:space="preserve">and/or </w:t>
      </w:r>
      <w:r w:rsidRPr="00784CBE">
        <w:rPr>
          <w:rFonts w:ascii="Times New Roman" w:hAnsi="Times New Roman"/>
          <w:sz w:val="23"/>
          <w:szCs w:val="23"/>
        </w:rPr>
        <w:t>in accordance with awarding agency disposition instructions:</w:t>
      </w:r>
    </w:p>
    <w:p w14:paraId="04077C4F" w14:textId="77777777" w:rsidR="00B744B0" w:rsidRPr="00784CBE" w:rsidRDefault="00B744B0" w:rsidP="00B744B0">
      <w:pPr>
        <w:pStyle w:val="ListParagraph"/>
        <w:numPr>
          <w:ilvl w:val="0"/>
          <w:numId w:val="12"/>
        </w:numPr>
        <w:rPr>
          <w:rFonts w:ascii="Times New Roman" w:hAnsi="Times New Roman"/>
          <w:sz w:val="23"/>
          <w:szCs w:val="23"/>
        </w:rPr>
      </w:pPr>
      <w:r w:rsidRPr="00784CBE">
        <w:rPr>
          <w:rFonts w:ascii="Times New Roman" w:hAnsi="Times New Roman"/>
          <w:sz w:val="23"/>
          <w:szCs w:val="23"/>
        </w:rPr>
        <w:t>Federally sponsored assets with a current per</w:t>
      </w:r>
      <w:r>
        <w:rPr>
          <w:rFonts w:ascii="Times New Roman" w:hAnsi="Times New Roman"/>
          <w:sz w:val="23"/>
          <w:szCs w:val="23"/>
        </w:rPr>
        <w:t>-</w:t>
      </w:r>
      <w:r w:rsidRPr="00784CBE">
        <w:rPr>
          <w:rFonts w:ascii="Times New Roman" w:hAnsi="Times New Roman"/>
          <w:sz w:val="23"/>
          <w:szCs w:val="23"/>
        </w:rPr>
        <w:t>unit fair market value of $5,000 or less may be retained, sold</w:t>
      </w:r>
      <w:r>
        <w:rPr>
          <w:rFonts w:ascii="Times New Roman" w:hAnsi="Times New Roman"/>
          <w:sz w:val="23"/>
          <w:szCs w:val="23"/>
        </w:rPr>
        <w:t>,</w:t>
      </w:r>
      <w:r w:rsidRPr="00784CBE">
        <w:rPr>
          <w:rFonts w:ascii="Times New Roman" w:hAnsi="Times New Roman"/>
          <w:sz w:val="23"/>
          <w:szCs w:val="23"/>
        </w:rPr>
        <w:t xml:space="preserve"> or disposed with no further obligation to the Federal awarding agency.</w:t>
      </w:r>
      <w:r>
        <w:rPr>
          <w:rFonts w:ascii="Times New Roman" w:hAnsi="Times New Roman"/>
          <w:sz w:val="23"/>
          <w:szCs w:val="23"/>
        </w:rPr>
        <w:t xml:space="preserve"> </w:t>
      </w:r>
    </w:p>
    <w:p w14:paraId="2E3897E6" w14:textId="77777777" w:rsidR="00B744B0" w:rsidRPr="00032502" w:rsidRDefault="00B744B0" w:rsidP="00B744B0">
      <w:pPr>
        <w:pStyle w:val="ListParagraph"/>
        <w:numPr>
          <w:ilvl w:val="0"/>
          <w:numId w:val="12"/>
        </w:numPr>
        <w:rPr>
          <w:rFonts w:ascii="Times New Roman" w:hAnsi="Times New Roman"/>
          <w:sz w:val="23"/>
          <w:szCs w:val="23"/>
        </w:rPr>
      </w:pPr>
      <w:r w:rsidRPr="00756AE3">
        <w:rPr>
          <w:rFonts w:ascii="Times New Roman" w:hAnsi="Times New Roman"/>
          <w:sz w:val="23"/>
          <w:szCs w:val="23"/>
        </w:rPr>
        <w:t xml:space="preserve">If the federal agency fails to provide disposition instructions within 120 days, equipment with a current fair market value greater than $5,000 may be retained or sold. The Federal awarding agency is entitled to its percentage of participation from the sale. </w:t>
      </w:r>
      <w:r w:rsidRPr="00032502">
        <w:rPr>
          <w:rFonts w:ascii="Times New Roman" w:hAnsi="Times New Roman"/>
          <w:sz w:val="23"/>
          <w:szCs w:val="23"/>
        </w:rPr>
        <w:t>If the equipment is sold the Federal agency may permit Creighton to deduct and retain from the Federal share $500 or ten percent of the proceeds, whichever is less, for its selling and handling expense</w:t>
      </w:r>
      <w:r w:rsidRPr="00756AE3">
        <w:rPr>
          <w:rFonts w:ascii="Times New Roman" w:hAnsi="Times New Roman"/>
          <w:sz w:val="23"/>
          <w:szCs w:val="23"/>
        </w:rPr>
        <w:t>.</w:t>
      </w:r>
    </w:p>
    <w:p w14:paraId="4C282B0B" w14:textId="77777777" w:rsidR="00B744B0" w:rsidRPr="00784CBE" w:rsidRDefault="00B744B0" w:rsidP="00B744B0">
      <w:pPr>
        <w:pStyle w:val="ListParagraph"/>
        <w:numPr>
          <w:ilvl w:val="0"/>
          <w:numId w:val="12"/>
        </w:numPr>
        <w:rPr>
          <w:rFonts w:ascii="Times New Roman" w:hAnsi="Times New Roman"/>
          <w:sz w:val="23"/>
          <w:szCs w:val="23"/>
        </w:rPr>
      </w:pPr>
      <w:r w:rsidRPr="00784CBE">
        <w:rPr>
          <w:rFonts w:ascii="Times New Roman" w:hAnsi="Times New Roman"/>
          <w:sz w:val="23"/>
          <w:szCs w:val="23"/>
        </w:rPr>
        <w:t>If Creighton fails to take appropriate disposition actions, the Federal awarding agency may direct Creighton to take disposition actions.</w:t>
      </w:r>
    </w:p>
    <w:p w14:paraId="3C0832B1" w14:textId="77777777" w:rsidR="00B744B0" w:rsidRPr="00A43EB1" w:rsidRDefault="00B744B0" w:rsidP="00B744B0">
      <w:pPr>
        <w:pStyle w:val="ListParagraph"/>
        <w:ind w:left="0"/>
        <w:rPr>
          <w:rFonts w:ascii="Times New Roman" w:hAnsi="Times New Roman"/>
          <w:b/>
          <w:sz w:val="23"/>
          <w:szCs w:val="23"/>
        </w:rPr>
      </w:pPr>
    </w:p>
    <w:p w14:paraId="218D8725" w14:textId="77777777" w:rsidR="00B744B0" w:rsidRPr="00F930C3" w:rsidRDefault="00B744B0" w:rsidP="00B744B0">
      <w:pPr>
        <w:widowControl/>
        <w:overflowPunct/>
        <w:autoSpaceDE/>
        <w:autoSpaceDN/>
        <w:adjustRightInd/>
        <w:textAlignment w:val="auto"/>
        <w:rPr>
          <w:rFonts w:ascii="Times New Roman" w:hAnsi="Times New Roman"/>
          <w:b/>
          <w:i/>
          <w:sz w:val="23"/>
          <w:szCs w:val="23"/>
        </w:rPr>
      </w:pPr>
      <w:r w:rsidRPr="00F930C3">
        <w:rPr>
          <w:rFonts w:ascii="Times New Roman" w:hAnsi="Times New Roman"/>
          <w:b/>
          <w:i/>
          <w:sz w:val="23"/>
          <w:szCs w:val="23"/>
        </w:rPr>
        <w:t xml:space="preserve">Disposal of </w:t>
      </w:r>
      <w:r>
        <w:rPr>
          <w:rFonts w:ascii="Times New Roman" w:hAnsi="Times New Roman"/>
          <w:b/>
          <w:i/>
          <w:sz w:val="23"/>
          <w:szCs w:val="23"/>
        </w:rPr>
        <w:t>F</w:t>
      </w:r>
      <w:r w:rsidRPr="00F930C3">
        <w:rPr>
          <w:rFonts w:ascii="Times New Roman" w:hAnsi="Times New Roman"/>
          <w:b/>
          <w:i/>
          <w:sz w:val="23"/>
          <w:szCs w:val="23"/>
        </w:rPr>
        <w:t xml:space="preserve">urniture or </w:t>
      </w:r>
      <w:r>
        <w:rPr>
          <w:rFonts w:ascii="Times New Roman" w:hAnsi="Times New Roman"/>
          <w:b/>
          <w:i/>
          <w:sz w:val="23"/>
          <w:szCs w:val="23"/>
        </w:rPr>
        <w:t>E</w:t>
      </w:r>
      <w:r w:rsidRPr="00F930C3">
        <w:rPr>
          <w:rFonts w:ascii="Times New Roman" w:hAnsi="Times New Roman"/>
          <w:b/>
          <w:i/>
          <w:sz w:val="23"/>
          <w:szCs w:val="23"/>
        </w:rPr>
        <w:t xml:space="preserve">quipment, </w:t>
      </w:r>
      <w:r>
        <w:rPr>
          <w:rFonts w:ascii="Times New Roman" w:hAnsi="Times New Roman"/>
          <w:b/>
          <w:i/>
          <w:sz w:val="23"/>
          <w:szCs w:val="23"/>
        </w:rPr>
        <w:t>N</w:t>
      </w:r>
      <w:r w:rsidRPr="00F930C3">
        <w:rPr>
          <w:rFonts w:ascii="Times New Roman" w:hAnsi="Times New Roman"/>
          <w:b/>
          <w:i/>
          <w:sz w:val="23"/>
          <w:szCs w:val="23"/>
        </w:rPr>
        <w:t xml:space="preserve">ot </w:t>
      </w:r>
      <w:r>
        <w:rPr>
          <w:rFonts w:ascii="Times New Roman" w:hAnsi="Times New Roman"/>
          <w:b/>
          <w:i/>
          <w:sz w:val="23"/>
          <w:szCs w:val="23"/>
        </w:rPr>
        <w:t>F</w:t>
      </w:r>
      <w:r w:rsidRPr="00F930C3">
        <w:rPr>
          <w:rFonts w:ascii="Times New Roman" w:hAnsi="Times New Roman"/>
          <w:b/>
          <w:i/>
          <w:sz w:val="23"/>
          <w:szCs w:val="23"/>
        </w:rPr>
        <w:t xml:space="preserve">ederally </w:t>
      </w:r>
      <w:r>
        <w:rPr>
          <w:rFonts w:ascii="Times New Roman" w:hAnsi="Times New Roman"/>
          <w:b/>
          <w:i/>
          <w:sz w:val="23"/>
          <w:szCs w:val="23"/>
        </w:rPr>
        <w:t>F</w:t>
      </w:r>
      <w:r w:rsidRPr="00F930C3">
        <w:rPr>
          <w:rFonts w:ascii="Times New Roman" w:hAnsi="Times New Roman"/>
          <w:b/>
          <w:i/>
          <w:sz w:val="23"/>
          <w:szCs w:val="23"/>
        </w:rPr>
        <w:t>unded</w:t>
      </w:r>
    </w:p>
    <w:p w14:paraId="69A6F85D" w14:textId="25BA50FC" w:rsidR="00FB5FCB" w:rsidRDefault="00FB5FCB" w:rsidP="00B744B0">
      <w:pPr>
        <w:widowControl/>
        <w:overflowPunct/>
        <w:autoSpaceDE/>
        <w:autoSpaceDN/>
        <w:adjustRightInd/>
        <w:textAlignment w:val="auto"/>
        <w:rPr>
          <w:rFonts w:ascii="Times New Roman" w:hAnsi="Times New Roman"/>
          <w:color w:val="000000" w:themeColor="text1"/>
          <w:sz w:val="23"/>
          <w:szCs w:val="23"/>
          <w:lang w:val="en"/>
        </w:rPr>
      </w:pPr>
      <w:r w:rsidRPr="00F930C3">
        <w:rPr>
          <w:rFonts w:ascii="Times New Roman" w:hAnsi="Times New Roman"/>
          <w:color w:val="000000" w:themeColor="text1"/>
          <w:sz w:val="23"/>
          <w:szCs w:val="23"/>
          <w:lang w:val="en"/>
        </w:rPr>
        <w:t>All fixed asset disposals sh</w:t>
      </w:r>
      <w:r>
        <w:rPr>
          <w:rFonts w:ascii="Times New Roman" w:hAnsi="Times New Roman"/>
          <w:color w:val="000000" w:themeColor="text1"/>
          <w:sz w:val="23"/>
          <w:szCs w:val="23"/>
          <w:lang w:val="en"/>
        </w:rPr>
        <w:t>ould be coordinated through Strategic Sourcing (</w:t>
      </w:r>
      <w:r w:rsidRPr="00F930C3">
        <w:rPr>
          <w:rFonts w:ascii="Times New Roman" w:hAnsi="Times New Roman"/>
          <w:color w:val="000000" w:themeColor="text1"/>
          <w:sz w:val="23"/>
          <w:szCs w:val="23"/>
          <w:lang w:val="en"/>
        </w:rPr>
        <w:t>Purchasing</w:t>
      </w:r>
      <w:r>
        <w:rPr>
          <w:rFonts w:ascii="Times New Roman" w:hAnsi="Times New Roman"/>
          <w:color w:val="000000" w:themeColor="text1"/>
          <w:sz w:val="23"/>
          <w:szCs w:val="23"/>
          <w:lang w:val="en"/>
        </w:rPr>
        <w:t>)</w:t>
      </w:r>
      <w:r w:rsidRPr="00F930C3">
        <w:rPr>
          <w:rFonts w:ascii="Times New Roman" w:hAnsi="Times New Roman"/>
          <w:color w:val="000000" w:themeColor="text1"/>
          <w:sz w:val="23"/>
          <w:szCs w:val="23"/>
          <w:lang w:val="en"/>
        </w:rPr>
        <w:t xml:space="preserve"> Department</w:t>
      </w:r>
      <w:r>
        <w:rPr>
          <w:rFonts w:ascii="Times New Roman" w:hAnsi="Times New Roman"/>
          <w:color w:val="000000" w:themeColor="text1"/>
          <w:sz w:val="23"/>
          <w:szCs w:val="23"/>
          <w:lang w:val="en"/>
        </w:rPr>
        <w:t>,</w:t>
      </w:r>
      <w:r w:rsidRPr="00F930C3">
        <w:rPr>
          <w:rFonts w:ascii="Times New Roman" w:hAnsi="Times New Roman"/>
          <w:color w:val="000000" w:themeColor="text1"/>
          <w:sz w:val="23"/>
          <w:szCs w:val="23"/>
          <w:lang w:val="en"/>
        </w:rPr>
        <w:t xml:space="preserve"> as specified in the </w:t>
      </w:r>
      <w:hyperlink r:id="rId9" w:history="1">
        <w:r w:rsidRPr="00A85B42">
          <w:rPr>
            <w:rStyle w:val="Hyperlink"/>
            <w:rFonts w:ascii="Times New Roman" w:hAnsi="Times New Roman"/>
            <w:sz w:val="23"/>
            <w:szCs w:val="23"/>
            <w:lang w:val="en"/>
          </w:rPr>
          <w:t>Purchasing Policy &amp; Procedures Manual, section 4.6.</w:t>
        </w:r>
      </w:hyperlink>
    </w:p>
    <w:p w14:paraId="34B1C611" w14:textId="77777777" w:rsidR="00FB5FCB" w:rsidRDefault="00FB5FCB" w:rsidP="00B744B0">
      <w:pPr>
        <w:widowControl/>
        <w:overflowPunct/>
        <w:autoSpaceDE/>
        <w:autoSpaceDN/>
        <w:adjustRightInd/>
        <w:textAlignment w:val="auto"/>
        <w:rPr>
          <w:rFonts w:ascii="Times New Roman" w:hAnsi="Times New Roman"/>
          <w:color w:val="000000" w:themeColor="text1"/>
          <w:sz w:val="23"/>
          <w:szCs w:val="23"/>
          <w:lang w:val="en"/>
        </w:rPr>
      </w:pPr>
    </w:p>
    <w:p w14:paraId="4D865DEC" w14:textId="4593084A" w:rsidR="00B744B0" w:rsidRPr="000840DF" w:rsidRDefault="00F0299D" w:rsidP="00B744B0">
      <w:pPr>
        <w:widowControl/>
        <w:overflowPunct/>
        <w:autoSpaceDE/>
        <w:autoSpaceDN/>
        <w:adjustRightInd/>
        <w:textAlignment w:val="auto"/>
        <w:rPr>
          <w:rFonts w:ascii="Times New Roman" w:hAnsi="Times New Roman"/>
          <w:color w:val="000000" w:themeColor="text1"/>
          <w:sz w:val="23"/>
          <w:szCs w:val="23"/>
          <w:lang w:val="en"/>
        </w:rPr>
      </w:pPr>
      <w:r w:rsidRPr="000840DF">
        <w:rPr>
          <w:rFonts w:ascii="Times New Roman" w:hAnsi="Times New Roman"/>
          <w:color w:val="000000" w:themeColor="text1"/>
          <w:sz w:val="23"/>
          <w:szCs w:val="23"/>
          <w:lang w:val="en"/>
        </w:rPr>
        <w:t>Disposition of non-federally funded equipment will be made as follows:</w:t>
      </w:r>
    </w:p>
    <w:p w14:paraId="36CE0B84" w14:textId="77777777" w:rsidR="00F0299D" w:rsidRPr="000840DF" w:rsidRDefault="00F0299D" w:rsidP="00F0299D">
      <w:pPr>
        <w:pStyle w:val="ListParagraph"/>
        <w:numPr>
          <w:ilvl w:val="0"/>
          <w:numId w:val="15"/>
        </w:numPr>
        <w:rPr>
          <w:rFonts w:ascii="Times New Roman" w:hAnsi="Times New Roman"/>
          <w:color w:val="000000" w:themeColor="text1"/>
          <w:sz w:val="23"/>
          <w:szCs w:val="23"/>
          <w:lang w:val="en"/>
        </w:rPr>
      </w:pPr>
      <w:r w:rsidRPr="000840DF">
        <w:rPr>
          <w:rFonts w:ascii="Times New Roman" w:hAnsi="Times New Roman"/>
          <w:color w:val="000000" w:themeColor="text1"/>
          <w:sz w:val="23"/>
          <w:szCs w:val="23"/>
          <w:lang w:val="en"/>
        </w:rPr>
        <w:t>Prior to the disposal, the department must obtain the net book value of the asset from Accounting Services</w:t>
      </w:r>
    </w:p>
    <w:p w14:paraId="199C8632" w14:textId="6B4B585A" w:rsidR="00F0299D" w:rsidRPr="000840DF" w:rsidRDefault="00F0299D" w:rsidP="00F0299D">
      <w:pPr>
        <w:pStyle w:val="ListParagraph"/>
        <w:numPr>
          <w:ilvl w:val="0"/>
          <w:numId w:val="15"/>
        </w:numPr>
        <w:rPr>
          <w:rFonts w:ascii="Times New Roman" w:hAnsi="Times New Roman"/>
          <w:color w:val="000000" w:themeColor="text1"/>
          <w:sz w:val="23"/>
          <w:szCs w:val="23"/>
          <w:lang w:val="en"/>
        </w:rPr>
      </w:pPr>
      <w:r w:rsidRPr="000840DF">
        <w:rPr>
          <w:rFonts w:ascii="Times New Roman" w:hAnsi="Times New Roman"/>
          <w:color w:val="000000" w:themeColor="text1"/>
          <w:sz w:val="23"/>
          <w:szCs w:val="23"/>
          <w:lang w:val="en"/>
        </w:rPr>
        <w:t xml:space="preserve">Additionally, the department fixed asset contact should verify whether the asset can be used by another department on campus. This contact should do so by emailing </w:t>
      </w:r>
      <w:r w:rsidR="00801764" w:rsidRPr="000840DF">
        <w:rPr>
          <w:rFonts w:ascii="Times New Roman" w:hAnsi="Times New Roman"/>
          <w:color w:val="000000" w:themeColor="text1"/>
          <w:sz w:val="23"/>
          <w:szCs w:val="23"/>
          <w:lang w:val="en"/>
        </w:rPr>
        <w:t xml:space="preserve">a current </w:t>
      </w:r>
      <w:r w:rsidR="00F501E0" w:rsidRPr="000840DF">
        <w:rPr>
          <w:rFonts w:ascii="Times New Roman" w:hAnsi="Times New Roman"/>
          <w:color w:val="000000" w:themeColor="text1"/>
          <w:sz w:val="23"/>
          <w:szCs w:val="23"/>
          <w:lang w:val="en"/>
        </w:rPr>
        <w:t>department</w:t>
      </w:r>
      <w:r w:rsidR="00801764" w:rsidRPr="000840DF">
        <w:rPr>
          <w:rFonts w:ascii="Times New Roman" w:hAnsi="Times New Roman"/>
          <w:color w:val="000000" w:themeColor="text1"/>
          <w:sz w:val="23"/>
          <w:szCs w:val="23"/>
          <w:lang w:val="en"/>
        </w:rPr>
        <w:t xml:space="preserve"> contact list</w:t>
      </w:r>
      <w:r w:rsidR="005D5241">
        <w:rPr>
          <w:rFonts w:ascii="Times New Roman" w:hAnsi="Times New Roman"/>
          <w:color w:val="000000" w:themeColor="text1"/>
          <w:sz w:val="23"/>
          <w:szCs w:val="23"/>
          <w:lang w:val="en"/>
        </w:rPr>
        <w:t xml:space="preserve"> available on the Accounting Services website</w:t>
      </w:r>
      <w:r w:rsidR="00801764" w:rsidRPr="000840DF">
        <w:rPr>
          <w:rFonts w:ascii="Times New Roman" w:hAnsi="Times New Roman"/>
          <w:color w:val="000000" w:themeColor="text1"/>
          <w:sz w:val="23"/>
          <w:szCs w:val="23"/>
          <w:lang w:val="en"/>
        </w:rPr>
        <w:t>.</w:t>
      </w:r>
    </w:p>
    <w:p w14:paraId="24D4EB55" w14:textId="7E6C0D5E" w:rsidR="00F0299D" w:rsidRPr="000840DF" w:rsidRDefault="00F0299D" w:rsidP="00F0299D">
      <w:pPr>
        <w:pStyle w:val="ListParagraph"/>
        <w:numPr>
          <w:ilvl w:val="0"/>
          <w:numId w:val="15"/>
        </w:numPr>
        <w:rPr>
          <w:rFonts w:ascii="Times New Roman" w:hAnsi="Times New Roman"/>
          <w:color w:val="000000" w:themeColor="text1"/>
          <w:sz w:val="23"/>
          <w:szCs w:val="23"/>
          <w:lang w:val="en"/>
        </w:rPr>
      </w:pPr>
      <w:r w:rsidRPr="000840DF">
        <w:rPr>
          <w:rFonts w:ascii="Times New Roman" w:hAnsi="Times New Roman"/>
          <w:color w:val="000000" w:themeColor="text1"/>
          <w:sz w:val="23"/>
          <w:szCs w:val="23"/>
          <w:lang w:val="en"/>
        </w:rPr>
        <w:t xml:space="preserve">When the net book value of the asset has been obtained and the department has determined the disposal will take place, the Asset Disposal/Move Form </w:t>
      </w:r>
      <w:r w:rsidR="0033155F" w:rsidRPr="000840DF">
        <w:rPr>
          <w:rFonts w:ascii="Times New Roman" w:hAnsi="Times New Roman"/>
          <w:color w:val="000000" w:themeColor="text1"/>
          <w:sz w:val="23"/>
          <w:szCs w:val="23"/>
          <w:lang w:val="en"/>
        </w:rPr>
        <w:t>must</w:t>
      </w:r>
      <w:r w:rsidRPr="000840DF">
        <w:rPr>
          <w:rFonts w:ascii="Times New Roman" w:hAnsi="Times New Roman"/>
          <w:color w:val="000000" w:themeColor="text1"/>
          <w:sz w:val="23"/>
          <w:szCs w:val="23"/>
          <w:lang w:val="en"/>
        </w:rPr>
        <w:t xml:space="preserve"> be completed</w:t>
      </w:r>
      <w:r w:rsidR="0033155F" w:rsidRPr="000840DF">
        <w:rPr>
          <w:rFonts w:ascii="Times New Roman" w:hAnsi="Times New Roman"/>
          <w:color w:val="000000" w:themeColor="text1"/>
          <w:sz w:val="23"/>
          <w:szCs w:val="23"/>
          <w:lang w:val="en"/>
        </w:rPr>
        <w:t xml:space="preserve"> and returned to Accounting Services</w:t>
      </w:r>
      <w:r w:rsidRPr="000840DF">
        <w:rPr>
          <w:rFonts w:ascii="Times New Roman" w:hAnsi="Times New Roman"/>
          <w:color w:val="000000" w:themeColor="text1"/>
          <w:sz w:val="23"/>
          <w:szCs w:val="23"/>
          <w:lang w:val="en"/>
        </w:rPr>
        <w:t xml:space="preserve">. </w:t>
      </w:r>
    </w:p>
    <w:p w14:paraId="1754D414" w14:textId="1917BE7C" w:rsidR="00F0299D" w:rsidRPr="000840DF" w:rsidRDefault="00F0299D" w:rsidP="00F0299D">
      <w:pPr>
        <w:pStyle w:val="ListParagraph"/>
        <w:numPr>
          <w:ilvl w:val="0"/>
          <w:numId w:val="15"/>
        </w:numPr>
        <w:rPr>
          <w:rFonts w:ascii="Times New Roman" w:hAnsi="Times New Roman"/>
          <w:color w:val="000000" w:themeColor="text1"/>
          <w:sz w:val="23"/>
          <w:szCs w:val="23"/>
          <w:lang w:val="en"/>
        </w:rPr>
      </w:pPr>
      <w:r w:rsidRPr="000840DF">
        <w:rPr>
          <w:rFonts w:ascii="Times New Roman" w:hAnsi="Times New Roman"/>
          <w:color w:val="000000" w:themeColor="text1"/>
          <w:sz w:val="23"/>
          <w:szCs w:val="23"/>
          <w:lang w:val="en"/>
        </w:rPr>
        <w:t>The department dean</w:t>
      </w:r>
      <w:r w:rsidR="005D5241">
        <w:rPr>
          <w:rFonts w:ascii="Times New Roman" w:hAnsi="Times New Roman"/>
          <w:color w:val="000000" w:themeColor="text1"/>
          <w:sz w:val="23"/>
          <w:szCs w:val="23"/>
          <w:lang w:val="en"/>
        </w:rPr>
        <w:t>, vice president,</w:t>
      </w:r>
      <w:r w:rsidRPr="000840DF">
        <w:rPr>
          <w:rFonts w:ascii="Times New Roman" w:hAnsi="Times New Roman"/>
          <w:color w:val="000000" w:themeColor="text1"/>
          <w:sz w:val="23"/>
          <w:szCs w:val="23"/>
          <w:lang w:val="en"/>
        </w:rPr>
        <w:t xml:space="preserve"> or a person delegated by the dean must approve all disposals.</w:t>
      </w:r>
    </w:p>
    <w:p w14:paraId="2C58BF96" w14:textId="1D2E86BF" w:rsidR="00F0299D" w:rsidRPr="000840DF" w:rsidRDefault="00F0299D" w:rsidP="00F0299D">
      <w:pPr>
        <w:pStyle w:val="ListParagraph"/>
        <w:numPr>
          <w:ilvl w:val="0"/>
          <w:numId w:val="15"/>
        </w:numPr>
        <w:rPr>
          <w:rFonts w:ascii="Times New Roman" w:hAnsi="Times New Roman"/>
          <w:color w:val="000000" w:themeColor="text1"/>
          <w:sz w:val="23"/>
          <w:szCs w:val="23"/>
          <w:lang w:val="en"/>
        </w:rPr>
      </w:pPr>
      <w:r w:rsidRPr="000840DF">
        <w:rPr>
          <w:rFonts w:ascii="Times New Roman" w:hAnsi="Times New Roman"/>
          <w:color w:val="000000" w:themeColor="text1"/>
          <w:sz w:val="23"/>
          <w:szCs w:val="23"/>
          <w:lang w:val="en"/>
        </w:rPr>
        <w:t xml:space="preserve">The </w:t>
      </w:r>
      <w:r w:rsidR="00F501E0" w:rsidRPr="000840DF">
        <w:rPr>
          <w:rFonts w:ascii="Times New Roman" w:hAnsi="Times New Roman"/>
          <w:color w:val="000000" w:themeColor="text1"/>
          <w:sz w:val="23"/>
          <w:szCs w:val="23"/>
          <w:lang w:val="en"/>
        </w:rPr>
        <w:t>F</w:t>
      </w:r>
      <w:r w:rsidRPr="000840DF">
        <w:rPr>
          <w:rFonts w:ascii="Times New Roman" w:hAnsi="Times New Roman"/>
          <w:color w:val="000000" w:themeColor="text1"/>
          <w:sz w:val="23"/>
          <w:szCs w:val="23"/>
          <w:lang w:val="en"/>
        </w:rPr>
        <w:t xml:space="preserve">inance </w:t>
      </w:r>
      <w:r w:rsidR="00F501E0" w:rsidRPr="000840DF">
        <w:rPr>
          <w:rFonts w:ascii="Times New Roman" w:hAnsi="Times New Roman"/>
          <w:color w:val="000000" w:themeColor="text1"/>
          <w:sz w:val="23"/>
          <w:szCs w:val="23"/>
          <w:lang w:val="en"/>
        </w:rPr>
        <w:t>D</w:t>
      </w:r>
      <w:r w:rsidRPr="000840DF">
        <w:rPr>
          <w:rFonts w:ascii="Times New Roman" w:hAnsi="Times New Roman"/>
          <w:color w:val="000000" w:themeColor="text1"/>
          <w:sz w:val="23"/>
          <w:szCs w:val="23"/>
          <w:lang w:val="en"/>
        </w:rPr>
        <w:t>irector</w:t>
      </w:r>
      <w:r w:rsidR="00F501E0" w:rsidRPr="000840DF">
        <w:rPr>
          <w:rFonts w:ascii="Times New Roman" w:hAnsi="Times New Roman"/>
          <w:color w:val="000000" w:themeColor="text1"/>
          <w:sz w:val="23"/>
          <w:szCs w:val="23"/>
          <w:lang w:val="en"/>
        </w:rPr>
        <w:t xml:space="preserve"> assigned to the department</w:t>
      </w:r>
      <w:r w:rsidRPr="000840DF">
        <w:rPr>
          <w:rFonts w:ascii="Times New Roman" w:hAnsi="Times New Roman"/>
          <w:color w:val="000000" w:themeColor="text1"/>
          <w:sz w:val="23"/>
          <w:szCs w:val="23"/>
          <w:lang w:val="en"/>
        </w:rPr>
        <w:t xml:space="preserve"> must approve the disposal </w:t>
      </w:r>
      <w:r w:rsidR="0033155F" w:rsidRPr="000840DF">
        <w:rPr>
          <w:rFonts w:ascii="Times New Roman" w:hAnsi="Times New Roman"/>
          <w:color w:val="000000" w:themeColor="text1"/>
          <w:sz w:val="23"/>
          <w:szCs w:val="23"/>
          <w:lang w:val="en"/>
        </w:rPr>
        <w:t>of any asset with a net book value of $5,000 or more.</w:t>
      </w:r>
    </w:p>
    <w:p w14:paraId="63BA996F" w14:textId="77777777" w:rsidR="0033155F" w:rsidRDefault="0033155F" w:rsidP="0033155F">
      <w:pPr>
        <w:pStyle w:val="ListParagraph"/>
        <w:rPr>
          <w:rFonts w:ascii="Times New Roman" w:hAnsi="Times New Roman"/>
          <w:color w:val="000000" w:themeColor="text1"/>
          <w:sz w:val="23"/>
          <w:szCs w:val="23"/>
          <w:lang w:val="en"/>
        </w:rPr>
      </w:pPr>
    </w:p>
    <w:p w14:paraId="089D1D28" w14:textId="77777777" w:rsidR="0033155F" w:rsidRDefault="0033155F" w:rsidP="0033155F">
      <w:pPr>
        <w:pStyle w:val="ListParagraph"/>
        <w:ind w:left="0"/>
        <w:rPr>
          <w:rFonts w:ascii="Times New Roman" w:hAnsi="Times New Roman"/>
          <w:b/>
          <w:i/>
          <w:iCs/>
          <w:sz w:val="23"/>
          <w:szCs w:val="23"/>
        </w:rPr>
      </w:pPr>
      <w:r w:rsidRPr="0033155F">
        <w:rPr>
          <w:rFonts w:ascii="Times New Roman" w:hAnsi="Times New Roman"/>
          <w:b/>
          <w:i/>
          <w:iCs/>
          <w:sz w:val="23"/>
          <w:szCs w:val="23"/>
        </w:rPr>
        <w:t>Sale of Furniture or Equipment, Not Federally Funded</w:t>
      </w:r>
    </w:p>
    <w:p w14:paraId="0E74353E" w14:textId="77777777" w:rsidR="0033155F" w:rsidRPr="0033155F" w:rsidRDefault="0033155F" w:rsidP="0033155F">
      <w:pPr>
        <w:pStyle w:val="ListParagraph"/>
        <w:ind w:left="0"/>
        <w:rPr>
          <w:rFonts w:ascii="Times New Roman" w:hAnsi="Times New Roman"/>
          <w:bCs/>
          <w:sz w:val="23"/>
          <w:szCs w:val="23"/>
        </w:rPr>
      </w:pPr>
      <w:r>
        <w:rPr>
          <w:rFonts w:ascii="Times New Roman" w:hAnsi="Times New Roman"/>
          <w:bCs/>
          <w:sz w:val="23"/>
          <w:szCs w:val="23"/>
        </w:rPr>
        <w:t>Sale of non-federally funded equipment will be made as follows:</w:t>
      </w:r>
    </w:p>
    <w:p w14:paraId="1B2B375C" w14:textId="77777777" w:rsidR="0033155F" w:rsidRDefault="0033155F" w:rsidP="0033155F">
      <w:pPr>
        <w:pStyle w:val="ListParagraph"/>
        <w:numPr>
          <w:ilvl w:val="0"/>
          <w:numId w:val="16"/>
        </w:numPr>
        <w:rPr>
          <w:rFonts w:ascii="Times New Roman" w:hAnsi="Times New Roman"/>
          <w:color w:val="000000" w:themeColor="text1"/>
          <w:sz w:val="23"/>
          <w:szCs w:val="23"/>
          <w:lang w:val="en"/>
        </w:rPr>
      </w:pPr>
      <w:r>
        <w:rPr>
          <w:rFonts w:ascii="Times New Roman" w:hAnsi="Times New Roman"/>
          <w:color w:val="000000" w:themeColor="text1"/>
          <w:sz w:val="23"/>
          <w:szCs w:val="23"/>
          <w:lang w:val="en"/>
        </w:rPr>
        <w:t>Prior to the sale, the department must obtain the net book value of the asset from Accounting Services</w:t>
      </w:r>
    </w:p>
    <w:p w14:paraId="63F781DC" w14:textId="1CF40B0E" w:rsidR="00B744B0" w:rsidRPr="0093692C" w:rsidRDefault="0033155F" w:rsidP="0033155F">
      <w:pPr>
        <w:pStyle w:val="ListParagraph"/>
        <w:numPr>
          <w:ilvl w:val="0"/>
          <w:numId w:val="16"/>
        </w:numPr>
        <w:rPr>
          <w:rFonts w:ascii="Times New Roman" w:hAnsi="Times New Roman"/>
          <w:sz w:val="23"/>
          <w:szCs w:val="23"/>
          <w:u w:val="single"/>
        </w:rPr>
      </w:pPr>
      <w:r w:rsidRPr="0093692C">
        <w:rPr>
          <w:rFonts w:ascii="Times New Roman" w:hAnsi="Times New Roman"/>
          <w:sz w:val="23"/>
          <w:szCs w:val="23"/>
        </w:rPr>
        <w:t>Prior to any sale agreement, the department must obtain approval by the</w:t>
      </w:r>
      <w:r w:rsidR="00801764" w:rsidRPr="0093692C">
        <w:rPr>
          <w:rFonts w:ascii="Times New Roman" w:hAnsi="Times New Roman"/>
          <w:sz w:val="23"/>
          <w:szCs w:val="23"/>
        </w:rPr>
        <w:t xml:space="preserve"> Treasurer </w:t>
      </w:r>
    </w:p>
    <w:p w14:paraId="293DD307" w14:textId="77777777" w:rsidR="0033155F" w:rsidRPr="0093692C" w:rsidRDefault="0033155F" w:rsidP="0033155F">
      <w:pPr>
        <w:pStyle w:val="ListParagraph"/>
        <w:numPr>
          <w:ilvl w:val="0"/>
          <w:numId w:val="16"/>
        </w:numPr>
        <w:rPr>
          <w:rFonts w:ascii="Times New Roman" w:hAnsi="Times New Roman"/>
          <w:sz w:val="23"/>
          <w:szCs w:val="23"/>
          <w:u w:val="single"/>
        </w:rPr>
      </w:pPr>
      <w:r w:rsidRPr="0093692C">
        <w:rPr>
          <w:rFonts w:ascii="Times New Roman" w:hAnsi="Times New Roman"/>
          <w:sz w:val="23"/>
          <w:szCs w:val="23"/>
        </w:rPr>
        <w:t xml:space="preserve">The asset must be advertised for sale (internally or externally depending upon asset) prior to completing transaction. If no offers received, the department may need to provide FMV support for the sale price. </w:t>
      </w:r>
    </w:p>
    <w:p w14:paraId="43D581EB" w14:textId="5958DE5E" w:rsidR="0033155F" w:rsidRPr="0093692C" w:rsidRDefault="0033155F" w:rsidP="0033155F">
      <w:pPr>
        <w:pStyle w:val="ListParagraph"/>
        <w:numPr>
          <w:ilvl w:val="0"/>
          <w:numId w:val="16"/>
        </w:numPr>
        <w:rPr>
          <w:rFonts w:ascii="Times New Roman" w:hAnsi="Times New Roman"/>
          <w:sz w:val="23"/>
          <w:szCs w:val="23"/>
          <w:u w:val="single"/>
        </w:rPr>
      </w:pPr>
      <w:r w:rsidRPr="0093692C">
        <w:rPr>
          <w:rFonts w:ascii="Times New Roman" w:hAnsi="Times New Roman"/>
          <w:sz w:val="23"/>
          <w:szCs w:val="23"/>
        </w:rPr>
        <w:t>Once the sale agreement is made, a bill of sale must be completed and signed by</w:t>
      </w:r>
      <w:r w:rsidR="00011A4D" w:rsidRPr="0093692C">
        <w:rPr>
          <w:rFonts w:ascii="Times New Roman" w:hAnsi="Times New Roman"/>
          <w:sz w:val="23"/>
          <w:szCs w:val="23"/>
        </w:rPr>
        <w:t xml:space="preserve"> Treasurer</w:t>
      </w:r>
      <w:r w:rsidRPr="0093692C">
        <w:rPr>
          <w:rFonts w:ascii="Times New Roman" w:hAnsi="Times New Roman"/>
          <w:sz w:val="23"/>
          <w:szCs w:val="23"/>
        </w:rPr>
        <w:t xml:space="preserve">. Additionally, an Asset Disposal/Move form should be completed and returned to Accounting Services. </w:t>
      </w:r>
    </w:p>
    <w:p w14:paraId="70E5EE0F" w14:textId="77777777" w:rsidR="0033155F" w:rsidRPr="0033155F" w:rsidRDefault="0033155F" w:rsidP="0033155F">
      <w:pPr>
        <w:pStyle w:val="ListParagraph"/>
        <w:numPr>
          <w:ilvl w:val="0"/>
          <w:numId w:val="16"/>
        </w:numPr>
        <w:rPr>
          <w:rFonts w:ascii="Times New Roman" w:hAnsi="Times New Roman"/>
          <w:sz w:val="23"/>
          <w:szCs w:val="23"/>
          <w:u w:val="single"/>
        </w:rPr>
      </w:pPr>
      <w:r>
        <w:rPr>
          <w:rFonts w:ascii="Times New Roman" w:hAnsi="Times New Roman"/>
          <w:sz w:val="23"/>
          <w:szCs w:val="23"/>
        </w:rPr>
        <w:t>Deposit sale proceeds for any asset sale to 920000-001100-5631</w:t>
      </w:r>
    </w:p>
    <w:p w14:paraId="3FEA9F8C" w14:textId="77777777" w:rsidR="00AE5F90" w:rsidRPr="004E60BB" w:rsidRDefault="00AE5F90">
      <w:pPr>
        <w:rPr>
          <w:rFonts w:ascii="Times New Roman" w:hAnsi="Times New Roman"/>
          <w:sz w:val="22"/>
          <w:szCs w:val="22"/>
        </w:rPr>
      </w:pPr>
    </w:p>
    <w:p w14:paraId="0B15A438" w14:textId="437265F5" w:rsidR="00945B45" w:rsidRDefault="00945B45" w:rsidP="00945B45">
      <w:pPr>
        <w:pStyle w:val="ListParagraph"/>
        <w:ind w:left="0"/>
        <w:rPr>
          <w:rFonts w:ascii="Times New Roman" w:hAnsi="Times New Roman"/>
          <w:b/>
          <w:i/>
          <w:iCs/>
          <w:sz w:val="23"/>
          <w:szCs w:val="23"/>
        </w:rPr>
      </w:pPr>
      <w:r>
        <w:rPr>
          <w:rFonts w:ascii="Times New Roman" w:hAnsi="Times New Roman"/>
          <w:b/>
          <w:i/>
          <w:iCs/>
          <w:sz w:val="23"/>
          <w:szCs w:val="23"/>
        </w:rPr>
        <w:t>Donation</w:t>
      </w:r>
      <w:r w:rsidRPr="0033155F">
        <w:rPr>
          <w:rFonts w:ascii="Times New Roman" w:hAnsi="Times New Roman"/>
          <w:b/>
          <w:i/>
          <w:iCs/>
          <w:sz w:val="23"/>
          <w:szCs w:val="23"/>
        </w:rPr>
        <w:t xml:space="preserve"> of Furniture or Equipment, Not Federally Funded</w:t>
      </w:r>
    </w:p>
    <w:p w14:paraId="3F6394FA" w14:textId="60CF9FC4" w:rsidR="00945B45" w:rsidRDefault="00945B45">
      <w:pPr>
        <w:rPr>
          <w:rFonts w:ascii="Times New Roman" w:hAnsi="Times New Roman"/>
          <w:bCs/>
          <w:sz w:val="23"/>
          <w:szCs w:val="23"/>
        </w:rPr>
      </w:pPr>
      <w:r>
        <w:rPr>
          <w:rFonts w:ascii="Times New Roman" w:hAnsi="Times New Roman"/>
          <w:bCs/>
          <w:sz w:val="23"/>
          <w:szCs w:val="23"/>
        </w:rPr>
        <w:t>Procedure for donations of non-federally funded furniture and equipment will be as follows:</w:t>
      </w:r>
    </w:p>
    <w:p w14:paraId="085ACBD8" w14:textId="51FB328C" w:rsidR="00945B45" w:rsidRDefault="00945B45" w:rsidP="00945B45">
      <w:pPr>
        <w:pStyle w:val="ListParagraph"/>
        <w:numPr>
          <w:ilvl w:val="0"/>
          <w:numId w:val="16"/>
        </w:numPr>
        <w:rPr>
          <w:rFonts w:ascii="Times New Roman" w:hAnsi="Times New Roman"/>
          <w:color w:val="000000" w:themeColor="text1"/>
          <w:sz w:val="23"/>
          <w:szCs w:val="23"/>
          <w:lang w:val="en"/>
        </w:rPr>
      </w:pPr>
      <w:r>
        <w:rPr>
          <w:rFonts w:ascii="Times New Roman" w:hAnsi="Times New Roman"/>
          <w:color w:val="000000" w:themeColor="text1"/>
          <w:sz w:val="23"/>
          <w:szCs w:val="23"/>
          <w:lang w:val="en"/>
        </w:rPr>
        <w:t>Prior to the donation, the department must obtain the net book value of the asset from Accounting Services</w:t>
      </w:r>
      <w:r w:rsidR="00AE56A8">
        <w:rPr>
          <w:rFonts w:ascii="Times New Roman" w:hAnsi="Times New Roman"/>
          <w:color w:val="000000" w:themeColor="text1"/>
          <w:sz w:val="23"/>
          <w:szCs w:val="23"/>
          <w:lang w:val="en"/>
        </w:rPr>
        <w:t>.</w:t>
      </w:r>
    </w:p>
    <w:p w14:paraId="791AFEFC" w14:textId="2F5EFC39" w:rsidR="00945B45" w:rsidRPr="0093692C" w:rsidRDefault="00945B45" w:rsidP="00945B45">
      <w:pPr>
        <w:pStyle w:val="ListParagraph"/>
        <w:numPr>
          <w:ilvl w:val="0"/>
          <w:numId w:val="16"/>
        </w:numPr>
        <w:rPr>
          <w:rFonts w:ascii="Times New Roman" w:hAnsi="Times New Roman"/>
          <w:sz w:val="23"/>
          <w:szCs w:val="23"/>
          <w:u w:val="single"/>
        </w:rPr>
      </w:pPr>
      <w:r>
        <w:rPr>
          <w:rFonts w:ascii="Times New Roman" w:hAnsi="Times New Roman"/>
          <w:sz w:val="23"/>
          <w:szCs w:val="23"/>
        </w:rPr>
        <w:t>A</w:t>
      </w:r>
      <w:r w:rsidRPr="0093692C">
        <w:rPr>
          <w:rFonts w:ascii="Times New Roman" w:hAnsi="Times New Roman"/>
          <w:sz w:val="23"/>
          <w:szCs w:val="23"/>
        </w:rPr>
        <w:t>n Asset Disposal/Move form should be completed and returned to Accounting Services</w:t>
      </w:r>
      <w:r>
        <w:rPr>
          <w:rFonts w:ascii="Times New Roman" w:hAnsi="Times New Roman"/>
          <w:sz w:val="23"/>
          <w:szCs w:val="23"/>
        </w:rPr>
        <w:t xml:space="preserve">, including the name of the </w:t>
      </w:r>
      <w:proofErr w:type="spellStart"/>
      <w:r>
        <w:rPr>
          <w:rFonts w:ascii="Times New Roman" w:hAnsi="Times New Roman"/>
          <w:sz w:val="23"/>
          <w:szCs w:val="23"/>
        </w:rPr>
        <w:t>donee</w:t>
      </w:r>
      <w:proofErr w:type="spellEnd"/>
      <w:r>
        <w:rPr>
          <w:rFonts w:ascii="Times New Roman" w:hAnsi="Times New Roman"/>
          <w:sz w:val="23"/>
          <w:szCs w:val="23"/>
        </w:rPr>
        <w:t xml:space="preserve"> organization and a copy of the donation receipt</w:t>
      </w:r>
      <w:r w:rsidR="00AE56A8">
        <w:rPr>
          <w:rFonts w:ascii="Times New Roman" w:hAnsi="Times New Roman"/>
          <w:sz w:val="23"/>
          <w:szCs w:val="23"/>
        </w:rPr>
        <w:t>, if one was received from the done organization</w:t>
      </w:r>
      <w:r w:rsidRPr="0093692C">
        <w:rPr>
          <w:rFonts w:ascii="Times New Roman" w:hAnsi="Times New Roman"/>
          <w:sz w:val="23"/>
          <w:szCs w:val="23"/>
        </w:rPr>
        <w:t xml:space="preserve">. </w:t>
      </w:r>
    </w:p>
    <w:p w14:paraId="3B8C4A1B" w14:textId="4CD45DBC" w:rsidR="00945B45" w:rsidRPr="00AE56A8" w:rsidRDefault="00945B45" w:rsidP="00E30C34">
      <w:pPr>
        <w:pStyle w:val="ListParagraph"/>
        <w:numPr>
          <w:ilvl w:val="0"/>
          <w:numId w:val="16"/>
        </w:numPr>
        <w:rPr>
          <w:rFonts w:ascii="Times New Roman" w:hAnsi="Times New Roman"/>
          <w:color w:val="000000" w:themeColor="text1"/>
          <w:sz w:val="23"/>
          <w:szCs w:val="23"/>
          <w:lang w:val="en"/>
        </w:rPr>
      </w:pPr>
      <w:r w:rsidRPr="00AE56A8">
        <w:rPr>
          <w:rFonts w:ascii="Times New Roman" w:hAnsi="Times New Roman"/>
          <w:color w:val="000000" w:themeColor="text1"/>
          <w:sz w:val="23"/>
          <w:szCs w:val="23"/>
          <w:lang w:val="en"/>
        </w:rPr>
        <w:t xml:space="preserve">The department must complete the </w:t>
      </w:r>
      <w:r w:rsidR="00AE56A8" w:rsidRPr="00AE56A8">
        <w:rPr>
          <w:rFonts w:ascii="Times New Roman" w:hAnsi="Times New Roman"/>
          <w:color w:val="000000" w:themeColor="text1"/>
          <w:sz w:val="23"/>
          <w:szCs w:val="23"/>
          <w:lang w:val="en"/>
        </w:rPr>
        <w:t>Donated Items form</w:t>
      </w:r>
      <w:r w:rsidRPr="00AE56A8">
        <w:rPr>
          <w:rFonts w:ascii="Times New Roman" w:hAnsi="Times New Roman"/>
          <w:color w:val="000000" w:themeColor="text1"/>
          <w:sz w:val="23"/>
          <w:szCs w:val="23"/>
          <w:lang w:val="en"/>
        </w:rPr>
        <w:t>, available on Accounting Service</w:t>
      </w:r>
      <w:r w:rsidR="00AE56A8" w:rsidRPr="00AE56A8">
        <w:rPr>
          <w:rFonts w:ascii="Times New Roman" w:hAnsi="Times New Roman"/>
          <w:color w:val="000000" w:themeColor="text1"/>
          <w:sz w:val="23"/>
          <w:szCs w:val="23"/>
          <w:lang w:val="en"/>
        </w:rPr>
        <w:t>s website, which includes</w:t>
      </w:r>
      <w:r w:rsidRPr="00AE56A8">
        <w:rPr>
          <w:rFonts w:ascii="Times New Roman" w:hAnsi="Times New Roman"/>
          <w:color w:val="000000" w:themeColor="text1"/>
          <w:sz w:val="23"/>
          <w:szCs w:val="23"/>
          <w:lang w:val="en"/>
        </w:rPr>
        <w:t xml:space="preserve"> type / description of asset, number of items, and their general condition.</w:t>
      </w:r>
      <w:r w:rsidR="00AE56A8" w:rsidRPr="00AE56A8">
        <w:rPr>
          <w:rFonts w:ascii="Times New Roman" w:hAnsi="Times New Roman"/>
          <w:color w:val="000000" w:themeColor="text1"/>
          <w:sz w:val="23"/>
          <w:szCs w:val="23"/>
          <w:lang w:val="en"/>
        </w:rPr>
        <w:t xml:space="preserve">  This information will be used for purposes of valuation as required in our tax return.</w:t>
      </w:r>
    </w:p>
    <w:p w14:paraId="4216CE78" w14:textId="77777777" w:rsidR="00945B45" w:rsidRDefault="00945B45">
      <w:pPr>
        <w:rPr>
          <w:rFonts w:ascii="Times New Roman" w:hAnsi="Times New Roman"/>
          <w:b/>
          <w:sz w:val="22"/>
          <w:szCs w:val="22"/>
        </w:rPr>
      </w:pPr>
    </w:p>
    <w:p w14:paraId="278742AD" w14:textId="77777777" w:rsidR="00945B45" w:rsidRDefault="00945B45">
      <w:pPr>
        <w:rPr>
          <w:rFonts w:ascii="Times New Roman" w:hAnsi="Times New Roman"/>
          <w:b/>
          <w:sz w:val="22"/>
          <w:szCs w:val="22"/>
        </w:rPr>
      </w:pPr>
    </w:p>
    <w:p w14:paraId="26F79F7E" w14:textId="6A5705D2" w:rsidR="00AE5F90" w:rsidRPr="004E60BB" w:rsidRDefault="00AE5F90">
      <w:pPr>
        <w:rPr>
          <w:rFonts w:ascii="Times New Roman" w:hAnsi="Times New Roman"/>
          <w:sz w:val="22"/>
          <w:szCs w:val="22"/>
        </w:rPr>
      </w:pPr>
      <w:r w:rsidRPr="004E60BB">
        <w:rPr>
          <w:rFonts w:ascii="Times New Roman" w:hAnsi="Times New Roman"/>
          <w:b/>
          <w:sz w:val="22"/>
          <w:szCs w:val="22"/>
        </w:rPr>
        <w:t>DEFINITIONS</w:t>
      </w:r>
    </w:p>
    <w:p w14:paraId="04AE7241" w14:textId="77777777" w:rsidR="002B24AA" w:rsidRDefault="002B24AA">
      <w:pPr>
        <w:rPr>
          <w:rFonts w:ascii="Times New Roman" w:hAnsi="Times New Roman"/>
          <w:sz w:val="22"/>
          <w:szCs w:val="22"/>
        </w:rPr>
      </w:pPr>
    </w:p>
    <w:p w14:paraId="3361D40C" w14:textId="77777777" w:rsidR="00B637C2" w:rsidRDefault="00B637C2">
      <w:pPr>
        <w:rPr>
          <w:rFonts w:ascii="Times New Roman" w:hAnsi="Times New Roman"/>
          <w:sz w:val="22"/>
          <w:szCs w:val="22"/>
        </w:rPr>
      </w:pPr>
      <w:r>
        <w:rPr>
          <w:rFonts w:ascii="Times New Roman" w:hAnsi="Times New Roman"/>
          <w:sz w:val="22"/>
          <w:szCs w:val="22"/>
        </w:rPr>
        <w:t>N/A</w:t>
      </w:r>
    </w:p>
    <w:p w14:paraId="4B109F2F" w14:textId="77777777" w:rsidR="00B637C2" w:rsidRDefault="00B637C2">
      <w:pPr>
        <w:rPr>
          <w:rFonts w:ascii="Times New Roman" w:hAnsi="Times New Roman"/>
          <w:sz w:val="22"/>
          <w:szCs w:val="22"/>
        </w:rPr>
      </w:pPr>
    </w:p>
    <w:p w14:paraId="57B7AB35" w14:textId="77777777" w:rsidR="00AE5F90" w:rsidRPr="004E60BB" w:rsidRDefault="00AE5F90">
      <w:pPr>
        <w:rPr>
          <w:rFonts w:ascii="Times New Roman" w:hAnsi="Times New Roman"/>
          <w:sz w:val="22"/>
          <w:szCs w:val="22"/>
        </w:rPr>
      </w:pPr>
      <w:r w:rsidRPr="004E60BB">
        <w:rPr>
          <w:rFonts w:ascii="Times New Roman" w:hAnsi="Times New Roman"/>
          <w:b/>
          <w:sz w:val="22"/>
          <w:szCs w:val="22"/>
        </w:rPr>
        <w:t>PROCEDURE</w:t>
      </w:r>
    </w:p>
    <w:p w14:paraId="3C3007FD" w14:textId="77777777" w:rsidR="00B744B0" w:rsidRPr="00A54E31" w:rsidRDefault="00B744B0" w:rsidP="00B744B0">
      <w:pPr>
        <w:rPr>
          <w:rFonts w:ascii="Times New Roman" w:hAnsi="Times New Roman"/>
          <w:sz w:val="23"/>
          <w:szCs w:val="23"/>
        </w:rPr>
      </w:pPr>
    </w:p>
    <w:p w14:paraId="19AF58CB" w14:textId="77777777" w:rsidR="00B744B0" w:rsidRPr="00A54E31" w:rsidRDefault="007A6CAA" w:rsidP="00B744B0">
      <w:pPr>
        <w:rPr>
          <w:rFonts w:ascii="Times New Roman" w:hAnsi="Times New Roman"/>
          <w:sz w:val="23"/>
          <w:szCs w:val="23"/>
        </w:rPr>
      </w:pPr>
      <w:r>
        <w:rPr>
          <w:rFonts w:ascii="Times New Roman" w:hAnsi="Times New Roman"/>
          <w:sz w:val="23"/>
          <w:szCs w:val="23"/>
        </w:rPr>
        <w:t>As</w:t>
      </w:r>
      <w:r w:rsidRPr="00A54E31">
        <w:rPr>
          <w:rFonts w:ascii="Times New Roman" w:hAnsi="Times New Roman"/>
          <w:sz w:val="23"/>
          <w:szCs w:val="23"/>
        </w:rPr>
        <w:t xml:space="preserve"> </w:t>
      </w:r>
      <w:r w:rsidR="009E5752" w:rsidRPr="00A54E31">
        <w:rPr>
          <w:rFonts w:ascii="Times New Roman" w:hAnsi="Times New Roman"/>
          <w:sz w:val="23"/>
          <w:szCs w:val="23"/>
        </w:rPr>
        <w:t xml:space="preserve">required by the terms and conditions of the Federal award, the PI must request disposition instructions from the Federal awarding agency.  </w:t>
      </w:r>
      <w:r w:rsidR="00B744B0" w:rsidRPr="00A54E31">
        <w:rPr>
          <w:rFonts w:ascii="Times New Roman" w:hAnsi="Times New Roman"/>
          <w:sz w:val="23"/>
          <w:szCs w:val="23"/>
        </w:rPr>
        <w:t xml:space="preserve">If an item is sold, traded in, transferred, donated, or discarded, an </w:t>
      </w:r>
      <w:hyperlink r:id="rId10" w:history="1">
        <w:r w:rsidR="00B744B0" w:rsidRPr="00A54E31">
          <w:rPr>
            <w:rStyle w:val="Hyperlink"/>
            <w:rFonts w:ascii="Times New Roman" w:hAnsi="Times New Roman"/>
            <w:sz w:val="23"/>
            <w:szCs w:val="23"/>
          </w:rPr>
          <w:t>Asset Disposal/Move Fo</w:t>
        </w:r>
        <w:r w:rsidR="00395EAE" w:rsidRPr="00A54E31">
          <w:rPr>
            <w:rStyle w:val="Hyperlink"/>
            <w:rFonts w:ascii="Times New Roman" w:hAnsi="Times New Roman"/>
            <w:sz w:val="23"/>
            <w:szCs w:val="23"/>
          </w:rPr>
          <w:t>r</w:t>
        </w:r>
        <w:r w:rsidR="00B744B0" w:rsidRPr="00A54E31">
          <w:rPr>
            <w:rStyle w:val="Hyperlink"/>
            <w:rFonts w:ascii="Times New Roman" w:hAnsi="Times New Roman"/>
            <w:sz w:val="23"/>
            <w:szCs w:val="23"/>
          </w:rPr>
          <w:t>m</w:t>
        </w:r>
      </w:hyperlink>
      <w:r w:rsidR="00B744B0" w:rsidRPr="00A54E31">
        <w:rPr>
          <w:rFonts w:ascii="Times New Roman" w:hAnsi="Times New Roman"/>
          <w:sz w:val="23"/>
          <w:szCs w:val="23"/>
        </w:rPr>
        <w:t xml:space="preserve"> should be completed by the department personnel and sent to Accounting Services so the records can be modified in the FAS and the general ledger.</w:t>
      </w:r>
    </w:p>
    <w:p w14:paraId="76EE1C17" w14:textId="77777777" w:rsidR="00B744B0" w:rsidRPr="00A54E31" w:rsidRDefault="00B744B0" w:rsidP="00B744B0">
      <w:pPr>
        <w:widowControl/>
        <w:overflowPunct/>
        <w:autoSpaceDE/>
        <w:autoSpaceDN/>
        <w:adjustRightInd/>
        <w:textAlignment w:val="auto"/>
        <w:rPr>
          <w:rFonts w:ascii="Times New Roman" w:hAnsi="Times New Roman"/>
          <w:sz w:val="23"/>
          <w:szCs w:val="23"/>
        </w:rPr>
      </w:pPr>
    </w:p>
    <w:p w14:paraId="6E51C098" w14:textId="77777777" w:rsidR="00B71356" w:rsidRDefault="00B71356" w:rsidP="00F501E0">
      <w:pPr>
        <w:rPr>
          <w:rFonts w:ascii="Times New Roman" w:hAnsi="Times New Roman"/>
          <w:b/>
          <w:sz w:val="22"/>
          <w:szCs w:val="22"/>
        </w:rPr>
      </w:pPr>
    </w:p>
    <w:p w14:paraId="515674C3" w14:textId="7821F19F" w:rsidR="00B471F8" w:rsidRDefault="00AE5F90">
      <w:pPr>
        <w:ind w:left="720" w:hanging="720"/>
        <w:rPr>
          <w:rFonts w:ascii="Times New Roman" w:hAnsi="Times New Roman"/>
          <w:b/>
          <w:sz w:val="22"/>
          <w:szCs w:val="22"/>
        </w:rPr>
      </w:pPr>
      <w:r w:rsidRPr="00494AFE">
        <w:rPr>
          <w:rFonts w:ascii="Times New Roman" w:hAnsi="Times New Roman"/>
          <w:b/>
          <w:sz w:val="22"/>
          <w:szCs w:val="22"/>
        </w:rPr>
        <w:t xml:space="preserve">ADMINISTRATION </w:t>
      </w:r>
    </w:p>
    <w:p w14:paraId="493F4ADC" w14:textId="77777777" w:rsidR="00F501E0" w:rsidRDefault="00F501E0">
      <w:pPr>
        <w:ind w:left="720" w:hanging="720"/>
        <w:rPr>
          <w:rFonts w:ascii="Times New Roman" w:hAnsi="Times New Roman"/>
          <w:sz w:val="22"/>
          <w:szCs w:val="22"/>
        </w:rPr>
      </w:pPr>
    </w:p>
    <w:p w14:paraId="7CCA4C41" w14:textId="77777777" w:rsidR="009E74D7" w:rsidRPr="00A54E31" w:rsidRDefault="00B471F8">
      <w:pPr>
        <w:ind w:left="720" w:hanging="720"/>
        <w:rPr>
          <w:rFonts w:ascii="Times New Roman" w:hAnsi="Times New Roman"/>
          <w:sz w:val="23"/>
          <w:szCs w:val="23"/>
        </w:rPr>
      </w:pPr>
      <w:r w:rsidRPr="00A54E31">
        <w:rPr>
          <w:rFonts w:ascii="Times New Roman" w:hAnsi="Times New Roman"/>
          <w:sz w:val="23"/>
          <w:szCs w:val="23"/>
        </w:rPr>
        <w:t>Questions about this policy should be directed to Accounting Services</w:t>
      </w:r>
    </w:p>
    <w:p w14:paraId="77DC5DA2" w14:textId="77777777" w:rsidR="00B471F8" w:rsidRPr="00A54E31" w:rsidRDefault="00B471F8">
      <w:pPr>
        <w:ind w:left="720" w:hanging="720"/>
        <w:rPr>
          <w:rFonts w:ascii="Times New Roman" w:hAnsi="Times New Roman"/>
          <w:sz w:val="23"/>
          <w:szCs w:val="23"/>
        </w:rPr>
      </w:pPr>
    </w:p>
    <w:p w14:paraId="5C011227" w14:textId="77777777" w:rsidR="008702AA" w:rsidRPr="008702AA" w:rsidRDefault="008702AA">
      <w:pPr>
        <w:rPr>
          <w:rFonts w:ascii="Times New Roman" w:hAnsi="Times New Roman"/>
          <w:b/>
          <w:sz w:val="22"/>
          <w:szCs w:val="22"/>
        </w:rPr>
      </w:pPr>
      <w:r w:rsidRPr="008702AA">
        <w:rPr>
          <w:rFonts w:ascii="Times New Roman" w:hAnsi="Times New Roman"/>
          <w:b/>
          <w:sz w:val="22"/>
          <w:szCs w:val="22"/>
        </w:rPr>
        <w:t>AMENDMENTS OR TERMINATION OF POLICY</w:t>
      </w:r>
    </w:p>
    <w:p w14:paraId="30223736" w14:textId="77777777" w:rsidR="008702AA" w:rsidRPr="008702AA" w:rsidRDefault="008702AA">
      <w:pPr>
        <w:pStyle w:val="ListParagraph"/>
        <w:rPr>
          <w:rFonts w:ascii="Times New Roman" w:hAnsi="Times New Roman"/>
          <w:sz w:val="22"/>
          <w:szCs w:val="22"/>
        </w:rPr>
      </w:pPr>
    </w:p>
    <w:p w14:paraId="2BACF2AD" w14:textId="77777777" w:rsidR="008702AA" w:rsidRPr="00A54E31" w:rsidRDefault="008702AA">
      <w:pPr>
        <w:rPr>
          <w:rFonts w:ascii="Times New Roman" w:hAnsi="Times New Roman"/>
          <w:sz w:val="23"/>
          <w:szCs w:val="23"/>
        </w:rPr>
      </w:pPr>
      <w:r w:rsidRPr="00A54E31">
        <w:rPr>
          <w:rFonts w:ascii="Times New Roman" w:hAnsi="Times New Roman"/>
          <w:sz w:val="23"/>
          <w:szCs w:val="23"/>
        </w:rPr>
        <w:t>The University reserves the right to modify, amend</w:t>
      </w:r>
      <w:r w:rsidR="009E74D7" w:rsidRPr="00A54E31">
        <w:rPr>
          <w:rFonts w:ascii="Times New Roman" w:hAnsi="Times New Roman"/>
          <w:sz w:val="23"/>
          <w:szCs w:val="23"/>
        </w:rPr>
        <w:t>,</w:t>
      </w:r>
      <w:r w:rsidRPr="00A54E31">
        <w:rPr>
          <w:rFonts w:ascii="Times New Roman" w:hAnsi="Times New Roman"/>
          <w:sz w:val="23"/>
          <w:szCs w:val="23"/>
        </w:rPr>
        <w:t xml:space="preserve"> or terminate this policy at any time.</w:t>
      </w:r>
    </w:p>
    <w:sectPr w:rsidR="008702AA" w:rsidRPr="00A54E31" w:rsidSect="00D97AF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270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E3996" w14:textId="77777777" w:rsidR="003A1BC7" w:rsidRDefault="003A1BC7" w:rsidP="00444353">
      <w:r>
        <w:separator/>
      </w:r>
    </w:p>
  </w:endnote>
  <w:endnote w:type="continuationSeparator" w:id="0">
    <w:p w14:paraId="0641D082" w14:textId="77777777" w:rsidR="003A1BC7" w:rsidRDefault="003A1BC7" w:rsidP="0044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9E30" w14:textId="77777777" w:rsidR="00424CE6" w:rsidRDefault="00424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9D6B" w14:textId="77777777" w:rsidR="00424CE6" w:rsidRDefault="00424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2916" w14:textId="77777777" w:rsidR="00424CE6" w:rsidRDefault="00424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7BCC2" w14:textId="77777777" w:rsidR="003A1BC7" w:rsidRDefault="003A1BC7" w:rsidP="00444353">
      <w:r>
        <w:separator/>
      </w:r>
    </w:p>
  </w:footnote>
  <w:footnote w:type="continuationSeparator" w:id="0">
    <w:p w14:paraId="312FD0C7" w14:textId="77777777" w:rsidR="003A1BC7" w:rsidRDefault="003A1BC7" w:rsidP="0044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408B" w14:textId="77777777" w:rsidR="00424CE6" w:rsidRDefault="00424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EC2E" w14:textId="77777777" w:rsidR="00A206E6" w:rsidRPr="00A81912" w:rsidRDefault="00A206E6" w:rsidP="00A206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rPr>
    </w:pPr>
    <w:r w:rsidRPr="00A81912">
      <w:rPr>
        <w:rFonts w:ascii="Times New Roman" w:hAnsi="Times New Roman"/>
        <w:b/>
        <w:i/>
        <w:sz w:val="36"/>
      </w:rPr>
      <w:t>Policies and Procedures</w:t>
    </w:r>
  </w:p>
  <w:tbl>
    <w:tblPr>
      <w:tblW w:w="8683" w:type="dxa"/>
      <w:tblInd w:w="120" w:type="dxa"/>
      <w:tblLayout w:type="fixed"/>
      <w:tblCellMar>
        <w:left w:w="120" w:type="dxa"/>
        <w:right w:w="120" w:type="dxa"/>
      </w:tblCellMar>
      <w:tblLook w:val="0000" w:firstRow="0" w:lastRow="0" w:firstColumn="0" w:lastColumn="0" w:noHBand="0" w:noVBand="0"/>
    </w:tblPr>
    <w:tblGrid>
      <w:gridCol w:w="3482"/>
      <w:gridCol w:w="1038"/>
      <w:gridCol w:w="878"/>
      <w:gridCol w:w="1134"/>
      <w:gridCol w:w="2151"/>
    </w:tblGrid>
    <w:tr w:rsidR="007067A1" w:rsidRPr="00A81912" w14:paraId="7E281B4E" w14:textId="45C8DDB7" w:rsidTr="000840DF">
      <w:trPr>
        <w:trHeight w:val="1013"/>
      </w:trPr>
      <w:tc>
        <w:tcPr>
          <w:tcW w:w="3482" w:type="dxa"/>
          <w:tcBorders>
            <w:top w:val="single" w:sz="6" w:space="0" w:color="auto"/>
            <w:left w:val="single" w:sz="6" w:space="0" w:color="auto"/>
            <w:right w:val="single" w:sz="4" w:space="0" w:color="auto"/>
          </w:tcBorders>
        </w:tcPr>
        <w:p w14:paraId="43BE4A99" w14:textId="77777777" w:rsidR="007067A1" w:rsidRPr="00A81912" w:rsidRDefault="007067A1" w:rsidP="00617CDF">
          <w:pPr>
            <w:tabs>
              <w:tab w:val="left" w:pos="-1440"/>
              <w:tab w:val="left" w:pos="-720"/>
            </w:tabs>
            <w:suppressAutoHyphens/>
            <w:spacing w:before="66"/>
            <w:rPr>
              <w:rFonts w:ascii="Times New Roman" w:hAnsi="Times New Roman"/>
            </w:rPr>
          </w:pPr>
          <w:r w:rsidRPr="00A81912">
            <w:rPr>
              <w:rFonts w:ascii="Times New Roman" w:hAnsi="Times New Roman"/>
              <w:b/>
              <w:i/>
              <w:sz w:val="28"/>
              <w:vertAlign w:val="superscript"/>
            </w:rPr>
            <w:t>SECTION:</w:t>
          </w:r>
        </w:p>
        <w:p w14:paraId="764097A9" w14:textId="77777777" w:rsidR="007067A1" w:rsidRPr="00A81912" w:rsidRDefault="007067A1" w:rsidP="00A70973">
          <w:pPr>
            <w:tabs>
              <w:tab w:val="left" w:pos="-1440"/>
              <w:tab w:val="left" w:pos="-720"/>
            </w:tabs>
            <w:suppressAutoHyphens/>
            <w:spacing w:after="111"/>
            <w:rPr>
              <w:rFonts w:ascii="Times New Roman" w:hAnsi="Times New Roman"/>
              <w:b/>
              <w:sz w:val="28"/>
            </w:rPr>
          </w:pPr>
          <w:r>
            <w:rPr>
              <w:rFonts w:ascii="Times New Roman" w:hAnsi="Times New Roman"/>
              <w:b/>
              <w:sz w:val="28"/>
            </w:rPr>
            <w:t xml:space="preserve"> Financial</w:t>
          </w:r>
        </w:p>
      </w:tc>
      <w:tc>
        <w:tcPr>
          <w:tcW w:w="5201" w:type="dxa"/>
          <w:gridSpan w:val="4"/>
          <w:tcBorders>
            <w:top w:val="single" w:sz="4" w:space="0" w:color="auto"/>
            <w:left w:val="single" w:sz="4" w:space="0" w:color="auto"/>
            <w:bottom w:val="single" w:sz="4" w:space="0" w:color="auto"/>
            <w:right w:val="single" w:sz="4" w:space="0" w:color="auto"/>
          </w:tcBorders>
        </w:tcPr>
        <w:p w14:paraId="5E20DFF0" w14:textId="77777777" w:rsidR="007067A1" w:rsidRPr="00A81912" w:rsidRDefault="007067A1" w:rsidP="00617CDF">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NO.</w:t>
          </w:r>
        </w:p>
        <w:p w14:paraId="2E3BD7ED" w14:textId="77777777" w:rsidR="007067A1" w:rsidRDefault="007067A1" w:rsidP="00617CDF">
          <w:pPr>
            <w:tabs>
              <w:tab w:val="left" w:pos="-1440"/>
              <w:tab w:val="left" w:pos="-720"/>
            </w:tabs>
            <w:suppressAutoHyphens/>
            <w:spacing w:after="111"/>
            <w:rPr>
              <w:rFonts w:ascii="Times New Roman" w:hAnsi="Times New Roman"/>
              <w:b/>
              <w:sz w:val="28"/>
            </w:rPr>
          </w:pPr>
          <w:r>
            <w:rPr>
              <w:rFonts w:ascii="Times New Roman" w:hAnsi="Times New Roman"/>
              <w:b/>
              <w:sz w:val="28"/>
            </w:rPr>
            <w:t xml:space="preserve"> FAPL 04</w:t>
          </w:r>
        </w:p>
        <w:p w14:paraId="45EE856E" w14:textId="77777777" w:rsidR="007067A1" w:rsidRPr="00A81912" w:rsidRDefault="007067A1" w:rsidP="00617CDF">
          <w:pPr>
            <w:tabs>
              <w:tab w:val="left" w:pos="-1440"/>
              <w:tab w:val="left" w:pos="-720"/>
            </w:tabs>
            <w:suppressAutoHyphens/>
            <w:spacing w:before="66"/>
            <w:rPr>
              <w:rFonts w:ascii="Times New Roman" w:hAnsi="Times New Roman"/>
              <w:b/>
              <w:i/>
              <w:sz w:val="28"/>
              <w:vertAlign w:val="superscript"/>
            </w:rPr>
          </w:pPr>
        </w:p>
      </w:tc>
    </w:tr>
    <w:tr w:rsidR="000840DF" w:rsidRPr="00A81912" w14:paraId="1A8341D0" w14:textId="6A819F88" w:rsidTr="000840DF">
      <w:trPr>
        <w:trHeight w:val="621"/>
      </w:trPr>
      <w:tc>
        <w:tcPr>
          <w:tcW w:w="3482" w:type="dxa"/>
          <w:tcBorders>
            <w:top w:val="single" w:sz="6" w:space="0" w:color="auto"/>
            <w:left w:val="single" w:sz="6" w:space="0" w:color="auto"/>
          </w:tcBorders>
        </w:tcPr>
        <w:p w14:paraId="63AC7D5D" w14:textId="77777777" w:rsidR="000840DF" w:rsidRDefault="000840DF" w:rsidP="000840DF">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CHAPTER:</w:t>
          </w:r>
        </w:p>
        <w:p w14:paraId="6B5246B4" w14:textId="77777777" w:rsidR="000840DF" w:rsidRPr="00A70973" w:rsidRDefault="000840DF" w:rsidP="000840DF">
          <w:pPr>
            <w:ind w:firstLine="720"/>
            <w:rPr>
              <w:rFonts w:ascii="Times New Roman" w:hAnsi="Times New Roman"/>
              <w:sz w:val="28"/>
            </w:rPr>
          </w:pPr>
          <w:r>
            <w:rPr>
              <w:rFonts w:ascii="Times New Roman" w:hAnsi="Times New Roman"/>
              <w:sz w:val="28"/>
            </w:rPr>
            <w:t>Fixed Assets</w:t>
          </w:r>
        </w:p>
      </w:tc>
      <w:tc>
        <w:tcPr>
          <w:tcW w:w="1038" w:type="dxa"/>
          <w:tcBorders>
            <w:top w:val="single" w:sz="4" w:space="0" w:color="auto"/>
            <w:left w:val="single" w:sz="6" w:space="0" w:color="auto"/>
            <w:bottom w:val="single" w:sz="4" w:space="0" w:color="auto"/>
          </w:tcBorders>
        </w:tcPr>
        <w:p w14:paraId="4E6F5323" w14:textId="77777777" w:rsidR="000840DF" w:rsidRPr="00A81912" w:rsidRDefault="000840DF" w:rsidP="000840DF">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ISSUED:</w:t>
          </w:r>
        </w:p>
        <w:p w14:paraId="1FD54759" w14:textId="77777777" w:rsidR="000840DF" w:rsidRPr="00A81912" w:rsidRDefault="000840DF" w:rsidP="000840DF">
          <w:pPr>
            <w:tabs>
              <w:tab w:val="left" w:pos="-1440"/>
              <w:tab w:val="left" w:pos="-720"/>
            </w:tabs>
            <w:suppressAutoHyphens/>
            <w:spacing w:after="111"/>
            <w:rPr>
              <w:rFonts w:ascii="Times New Roman" w:hAnsi="Times New Roman"/>
            </w:rPr>
          </w:pPr>
          <w:r>
            <w:rPr>
              <w:rFonts w:ascii="Times New Roman" w:hAnsi="Times New Roman"/>
            </w:rPr>
            <w:t xml:space="preserve"> 7/1/93</w:t>
          </w:r>
        </w:p>
      </w:tc>
      <w:tc>
        <w:tcPr>
          <w:tcW w:w="878" w:type="dxa"/>
          <w:tcBorders>
            <w:top w:val="single" w:sz="4" w:space="0" w:color="auto"/>
            <w:left w:val="single" w:sz="6" w:space="0" w:color="auto"/>
            <w:bottom w:val="single" w:sz="4" w:space="0" w:color="auto"/>
          </w:tcBorders>
        </w:tcPr>
        <w:p w14:paraId="541EEECF" w14:textId="77777777" w:rsidR="000840DF" w:rsidRPr="00A41E80" w:rsidRDefault="000840DF" w:rsidP="000840DF">
          <w:pPr>
            <w:tabs>
              <w:tab w:val="left" w:pos="-1440"/>
              <w:tab w:val="left" w:pos="-720"/>
            </w:tabs>
            <w:suppressAutoHyphens/>
            <w:spacing w:before="66"/>
            <w:rPr>
              <w:rFonts w:ascii="Times New Roman" w:hAnsi="Times New Roman"/>
            </w:rPr>
          </w:pPr>
          <w:r w:rsidRPr="00A41E80">
            <w:rPr>
              <w:rFonts w:ascii="Times New Roman" w:hAnsi="Times New Roman"/>
              <w:i/>
              <w:vertAlign w:val="superscript"/>
            </w:rPr>
            <w:t>REV. A</w:t>
          </w:r>
        </w:p>
        <w:p w14:paraId="41BC4DFF" w14:textId="77777777" w:rsidR="000840DF" w:rsidRPr="0030191A" w:rsidRDefault="000840DF" w:rsidP="000840DF">
          <w:pPr>
            <w:tabs>
              <w:tab w:val="left" w:pos="-1440"/>
              <w:tab w:val="left" w:pos="-720"/>
            </w:tabs>
            <w:suppressAutoHyphens/>
            <w:spacing w:after="111"/>
            <w:rPr>
              <w:rFonts w:ascii="Times New Roman" w:hAnsi="Times New Roman"/>
              <w:sz w:val="22"/>
              <w:szCs w:val="22"/>
            </w:rPr>
          </w:pPr>
          <w:r>
            <w:rPr>
              <w:rFonts w:ascii="Times New Roman" w:hAnsi="Times New Roman"/>
              <w:sz w:val="22"/>
              <w:szCs w:val="22"/>
            </w:rPr>
            <w:t xml:space="preserve"> 2/3/12</w:t>
          </w:r>
        </w:p>
      </w:tc>
      <w:tc>
        <w:tcPr>
          <w:tcW w:w="1134" w:type="dxa"/>
          <w:tcBorders>
            <w:top w:val="single" w:sz="4" w:space="0" w:color="auto"/>
            <w:left w:val="single" w:sz="6" w:space="0" w:color="auto"/>
            <w:bottom w:val="single" w:sz="4" w:space="0" w:color="auto"/>
            <w:right w:val="single" w:sz="6" w:space="0" w:color="auto"/>
          </w:tcBorders>
        </w:tcPr>
        <w:p w14:paraId="7008FE75" w14:textId="77777777" w:rsidR="000840DF" w:rsidRPr="00A81912" w:rsidRDefault="000840DF" w:rsidP="000840DF">
          <w:pPr>
            <w:tabs>
              <w:tab w:val="left" w:pos="-1440"/>
              <w:tab w:val="left" w:pos="-720"/>
            </w:tabs>
            <w:suppressAutoHyphens/>
            <w:spacing w:before="66"/>
            <w:rPr>
              <w:rFonts w:ascii="Times New Roman" w:hAnsi="Times New Roman"/>
            </w:rPr>
          </w:pPr>
          <w:r w:rsidRPr="00A81912">
            <w:rPr>
              <w:rFonts w:ascii="Times New Roman" w:hAnsi="Times New Roman"/>
              <w:i/>
              <w:vertAlign w:val="superscript"/>
            </w:rPr>
            <w:t>REV. B</w:t>
          </w:r>
        </w:p>
        <w:p w14:paraId="2416D201" w14:textId="77777777" w:rsidR="000840DF" w:rsidRPr="00A81912" w:rsidRDefault="000840DF" w:rsidP="000840DF">
          <w:pPr>
            <w:tabs>
              <w:tab w:val="left" w:pos="-1440"/>
              <w:tab w:val="left" w:pos="-720"/>
            </w:tabs>
            <w:suppressAutoHyphens/>
            <w:spacing w:after="111"/>
            <w:rPr>
              <w:rFonts w:ascii="Times New Roman" w:hAnsi="Times New Roman"/>
            </w:rPr>
          </w:pPr>
          <w:r>
            <w:rPr>
              <w:rFonts w:ascii="Times New Roman" w:hAnsi="Times New Roman"/>
            </w:rPr>
            <w:t>5/14/15</w:t>
          </w:r>
        </w:p>
      </w:tc>
      <w:tc>
        <w:tcPr>
          <w:tcW w:w="2151" w:type="dxa"/>
          <w:tcBorders>
            <w:top w:val="single" w:sz="4" w:space="0" w:color="auto"/>
            <w:left w:val="single" w:sz="6" w:space="0" w:color="auto"/>
            <w:bottom w:val="single" w:sz="4" w:space="0" w:color="auto"/>
            <w:right w:val="single" w:sz="6" w:space="0" w:color="auto"/>
          </w:tcBorders>
        </w:tcPr>
        <w:p w14:paraId="4EEA14F6" w14:textId="63928525" w:rsidR="000840DF" w:rsidRPr="00A81912" w:rsidRDefault="000840DF" w:rsidP="000840DF">
          <w:pPr>
            <w:tabs>
              <w:tab w:val="left" w:pos="-1440"/>
              <w:tab w:val="left" w:pos="-720"/>
            </w:tabs>
            <w:suppressAutoHyphens/>
            <w:spacing w:before="66"/>
            <w:rPr>
              <w:rFonts w:ascii="Times New Roman" w:hAnsi="Times New Roman"/>
            </w:rPr>
          </w:pPr>
          <w:r w:rsidRPr="00A81912">
            <w:rPr>
              <w:rFonts w:ascii="Times New Roman" w:hAnsi="Times New Roman"/>
              <w:i/>
              <w:vertAlign w:val="superscript"/>
            </w:rPr>
            <w:t xml:space="preserve">REV. </w:t>
          </w:r>
          <w:r>
            <w:rPr>
              <w:rFonts w:ascii="Times New Roman" w:hAnsi="Times New Roman"/>
              <w:i/>
              <w:vertAlign w:val="superscript"/>
            </w:rPr>
            <w:t>C</w:t>
          </w:r>
        </w:p>
        <w:p w14:paraId="09D204B1" w14:textId="7FDC2AFB" w:rsidR="000840DF" w:rsidRPr="00A81912" w:rsidRDefault="00424CE6" w:rsidP="000840DF">
          <w:pPr>
            <w:tabs>
              <w:tab w:val="left" w:pos="-1440"/>
              <w:tab w:val="left" w:pos="-720"/>
            </w:tabs>
            <w:suppressAutoHyphens/>
            <w:spacing w:before="66"/>
            <w:rPr>
              <w:rFonts w:ascii="Times New Roman" w:hAnsi="Times New Roman"/>
              <w:i/>
              <w:vertAlign w:val="superscript"/>
            </w:rPr>
          </w:pPr>
          <w:r>
            <w:rPr>
              <w:rFonts w:ascii="Times New Roman" w:hAnsi="Times New Roman"/>
            </w:rPr>
            <w:t>5/2</w:t>
          </w:r>
          <w:r w:rsidR="000840DF">
            <w:rPr>
              <w:rFonts w:ascii="Times New Roman" w:hAnsi="Times New Roman"/>
            </w:rPr>
            <w:t>/23</w:t>
          </w:r>
        </w:p>
      </w:tc>
      <w:bookmarkStart w:id="0" w:name="_GoBack"/>
      <w:bookmarkEnd w:id="0"/>
    </w:tr>
    <w:tr w:rsidR="000840DF" w:rsidRPr="00A81912" w14:paraId="142F37E9" w14:textId="590ABD6F" w:rsidTr="000840DF">
      <w:trPr>
        <w:trHeight w:val="319"/>
      </w:trPr>
      <w:tc>
        <w:tcPr>
          <w:tcW w:w="3482" w:type="dxa"/>
          <w:tcBorders>
            <w:top w:val="single" w:sz="6" w:space="0" w:color="auto"/>
            <w:left w:val="single" w:sz="6" w:space="0" w:color="auto"/>
            <w:bottom w:val="single" w:sz="6" w:space="0" w:color="auto"/>
            <w:right w:val="single" w:sz="4" w:space="0" w:color="auto"/>
          </w:tcBorders>
        </w:tcPr>
        <w:p w14:paraId="38808D0C" w14:textId="77777777" w:rsidR="000840DF" w:rsidRPr="00A81912" w:rsidRDefault="000840DF" w:rsidP="000840DF">
          <w:pPr>
            <w:tabs>
              <w:tab w:val="left" w:pos="-1440"/>
              <w:tab w:val="left" w:pos="-720"/>
            </w:tabs>
            <w:suppressAutoHyphens/>
            <w:spacing w:before="66"/>
            <w:rPr>
              <w:rFonts w:ascii="Times New Roman" w:hAnsi="Times New Roman"/>
              <w:b/>
              <w:sz w:val="28"/>
            </w:rPr>
          </w:pPr>
          <w:r w:rsidRPr="00A81912">
            <w:rPr>
              <w:rFonts w:ascii="Times New Roman" w:hAnsi="Times New Roman"/>
              <w:b/>
              <w:i/>
              <w:sz w:val="28"/>
              <w:vertAlign w:val="superscript"/>
            </w:rPr>
            <w:t>POLICY</w:t>
          </w:r>
          <w:r w:rsidRPr="008702AA">
            <w:rPr>
              <w:rFonts w:ascii="Times New Roman" w:hAnsi="Times New Roman"/>
              <w:b/>
              <w:sz w:val="28"/>
            </w:rPr>
            <w:t xml:space="preserve">   Fixed Asset </w:t>
          </w:r>
          <w:r>
            <w:rPr>
              <w:rFonts w:ascii="Times New Roman" w:hAnsi="Times New Roman"/>
              <w:b/>
              <w:sz w:val="28"/>
            </w:rPr>
            <w:t>Disposals and Moves</w:t>
          </w:r>
        </w:p>
      </w:tc>
      <w:tc>
        <w:tcPr>
          <w:tcW w:w="5201" w:type="dxa"/>
          <w:gridSpan w:val="4"/>
          <w:tcBorders>
            <w:top w:val="single" w:sz="4" w:space="0" w:color="auto"/>
            <w:left w:val="single" w:sz="4" w:space="0" w:color="auto"/>
            <w:bottom w:val="single" w:sz="4" w:space="0" w:color="auto"/>
            <w:right w:val="single" w:sz="4" w:space="0" w:color="auto"/>
          </w:tcBorders>
        </w:tcPr>
        <w:p w14:paraId="0C1241F0" w14:textId="32FBFA9F" w:rsidR="000840DF" w:rsidRPr="008E02EA" w:rsidRDefault="000840DF" w:rsidP="000840DF">
          <w:pPr>
            <w:tabs>
              <w:tab w:val="left" w:pos="-1440"/>
              <w:tab w:val="left" w:pos="-720"/>
            </w:tabs>
            <w:suppressAutoHyphens/>
            <w:spacing w:after="111"/>
            <w:rPr>
              <w:rFonts w:ascii="Times New Roman" w:hAnsi="Times New Roman"/>
              <w:i/>
              <w:sz w:val="22"/>
              <w:szCs w:val="22"/>
            </w:rPr>
          </w:pPr>
          <w:r w:rsidRPr="008E02EA">
            <w:rPr>
              <w:rFonts w:ascii="Times New Roman" w:hAnsi="Times New Roman"/>
              <w:i/>
              <w:sz w:val="22"/>
              <w:szCs w:val="22"/>
            </w:rPr>
            <w:t xml:space="preserve"> </w:t>
          </w:r>
        </w:p>
      </w:tc>
    </w:tr>
  </w:tbl>
  <w:p w14:paraId="728095D2" w14:textId="77777777" w:rsidR="00A41E80" w:rsidRDefault="00A41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21E5" w14:textId="77777777" w:rsidR="00424CE6" w:rsidRDefault="00424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191"/>
    <w:multiLevelType w:val="hybridMultilevel"/>
    <w:tmpl w:val="EAA0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68D9"/>
    <w:multiLevelType w:val="hybridMultilevel"/>
    <w:tmpl w:val="36BE6F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5731488"/>
    <w:multiLevelType w:val="hybridMultilevel"/>
    <w:tmpl w:val="98A6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40AC1"/>
    <w:multiLevelType w:val="singleLevel"/>
    <w:tmpl w:val="826CCC9E"/>
    <w:lvl w:ilvl="0">
      <w:start w:val="3"/>
      <w:numFmt w:val="decimal"/>
      <w:lvlText w:val="%1."/>
      <w:lvlJc w:val="left"/>
      <w:pPr>
        <w:tabs>
          <w:tab w:val="num" w:pos="1344"/>
        </w:tabs>
        <w:ind w:left="1344" w:hanging="624"/>
      </w:pPr>
      <w:rPr>
        <w:rFonts w:cs="Times New Roman" w:hint="default"/>
      </w:rPr>
    </w:lvl>
  </w:abstractNum>
  <w:abstractNum w:abstractNumId="4" w15:restartNumberingAfterBreak="0">
    <w:nsid w:val="335D2C85"/>
    <w:multiLevelType w:val="hybridMultilevel"/>
    <w:tmpl w:val="36FC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748AC"/>
    <w:multiLevelType w:val="multilevel"/>
    <w:tmpl w:val="ED7A0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C60FC2"/>
    <w:multiLevelType w:val="singleLevel"/>
    <w:tmpl w:val="80B0560E"/>
    <w:lvl w:ilvl="0">
      <w:start w:val="1"/>
      <w:numFmt w:val="upperLetter"/>
      <w:lvlText w:val="%1."/>
      <w:lvlJc w:val="left"/>
      <w:pPr>
        <w:tabs>
          <w:tab w:val="num" w:pos="720"/>
        </w:tabs>
        <w:ind w:left="720" w:hanging="720"/>
      </w:pPr>
      <w:rPr>
        <w:rFonts w:hint="default"/>
      </w:rPr>
    </w:lvl>
  </w:abstractNum>
  <w:abstractNum w:abstractNumId="7" w15:restartNumberingAfterBreak="0">
    <w:nsid w:val="445A6ADA"/>
    <w:multiLevelType w:val="hybridMultilevel"/>
    <w:tmpl w:val="06A2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B33C1"/>
    <w:multiLevelType w:val="hybridMultilevel"/>
    <w:tmpl w:val="567C4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4439B"/>
    <w:multiLevelType w:val="hybridMultilevel"/>
    <w:tmpl w:val="ACDCE71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97C4314"/>
    <w:multiLevelType w:val="singleLevel"/>
    <w:tmpl w:val="04090015"/>
    <w:lvl w:ilvl="0">
      <w:start w:val="2"/>
      <w:numFmt w:val="upperLetter"/>
      <w:lvlText w:val="%1."/>
      <w:lvlJc w:val="left"/>
      <w:pPr>
        <w:tabs>
          <w:tab w:val="num" w:pos="360"/>
        </w:tabs>
        <w:ind w:left="360" w:hanging="360"/>
      </w:pPr>
      <w:rPr>
        <w:rFonts w:hint="default"/>
      </w:rPr>
    </w:lvl>
  </w:abstractNum>
  <w:abstractNum w:abstractNumId="11" w15:restartNumberingAfterBreak="0">
    <w:nsid w:val="6CDA3FDC"/>
    <w:multiLevelType w:val="hybridMultilevel"/>
    <w:tmpl w:val="525056E4"/>
    <w:lvl w:ilvl="0" w:tplc="2C5AF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BE5111"/>
    <w:multiLevelType w:val="hybridMultilevel"/>
    <w:tmpl w:val="5928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06B71"/>
    <w:multiLevelType w:val="hybridMultilevel"/>
    <w:tmpl w:val="38E0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56F21"/>
    <w:multiLevelType w:val="hybridMultilevel"/>
    <w:tmpl w:val="48C0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920A13"/>
    <w:multiLevelType w:val="hybridMultilevel"/>
    <w:tmpl w:val="5D26EE8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14"/>
  </w:num>
  <w:num w:numId="5">
    <w:abstractNumId w:val="15"/>
  </w:num>
  <w:num w:numId="6">
    <w:abstractNumId w:val="11"/>
  </w:num>
  <w:num w:numId="7">
    <w:abstractNumId w:val="0"/>
  </w:num>
  <w:num w:numId="8">
    <w:abstractNumId w:val="2"/>
  </w:num>
  <w:num w:numId="9">
    <w:abstractNumId w:val="9"/>
  </w:num>
  <w:num w:numId="10">
    <w:abstractNumId w:val="1"/>
  </w:num>
  <w:num w:numId="11">
    <w:abstractNumId w:val="8"/>
  </w:num>
  <w:num w:numId="12">
    <w:abstractNumId w:val="13"/>
  </w:num>
  <w:num w:numId="13">
    <w:abstractNumId w:val="5"/>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BD"/>
    <w:rsid w:val="00011A4D"/>
    <w:rsid w:val="00026907"/>
    <w:rsid w:val="00040AFB"/>
    <w:rsid w:val="00042224"/>
    <w:rsid w:val="00042594"/>
    <w:rsid w:val="00073984"/>
    <w:rsid w:val="000840DF"/>
    <w:rsid w:val="0008731F"/>
    <w:rsid w:val="00087527"/>
    <w:rsid w:val="000C0009"/>
    <w:rsid w:val="000C6384"/>
    <w:rsid w:val="000E7836"/>
    <w:rsid w:val="0013650D"/>
    <w:rsid w:val="00147C25"/>
    <w:rsid w:val="00166C95"/>
    <w:rsid w:val="00176C07"/>
    <w:rsid w:val="001A25C0"/>
    <w:rsid w:val="001A7F60"/>
    <w:rsid w:val="002453E1"/>
    <w:rsid w:val="002567DE"/>
    <w:rsid w:val="00256DB3"/>
    <w:rsid w:val="00270F62"/>
    <w:rsid w:val="0029030E"/>
    <w:rsid w:val="002910C4"/>
    <w:rsid w:val="002A1D61"/>
    <w:rsid w:val="002A286F"/>
    <w:rsid w:val="002B24AA"/>
    <w:rsid w:val="002B2C6F"/>
    <w:rsid w:val="002B3FA1"/>
    <w:rsid w:val="002B4755"/>
    <w:rsid w:val="002E4788"/>
    <w:rsid w:val="0030191A"/>
    <w:rsid w:val="0033155F"/>
    <w:rsid w:val="003458F3"/>
    <w:rsid w:val="00350E53"/>
    <w:rsid w:val="00380DE0"/>
    <w:rsid w:val="00395139"/>
    <w:rsid w:val="00395EAE"/>
    <w:rsid w:val="003A1BC7"/>
    <w:rsid w:val="003D1530"/>
    <w:rsid w:val="003D55F5"/>
    <w:rsid w:val="003E3994"/>
    <w:rsid w:val="003E66B0"/>
    <w:rsid w:val="003F4948"/>
    <w:rsid w:val="00424CE6"/>
    <w:rsid w:val="0044006D"/>
    <w:rsid w:val="00442269"/>
    <w:rsid w:val="00444353"/>
    <w:rsid w:val="0044557C"/>
    <w:rsid w:val="004478C8"/>
    <w:rsid w:val="00494AFE"/>
    <w:rsid w:val="004B683B"/>
    <w:rsid w:val="004D71F2"/>
    <w:rsid w:val="004E60BB"/>
    <w:rsid w:val="00506B13"/>
    <w:rsid w:val="00512823"/>
    <w:rsid w:val="005376BC"/>
    <w:rsid w:val="0057219F"/>
    <w:rsid w:val="005A6421"/>
    <w:rsid w:val="005D5241"/>
    <w:rsid w:val="00650BA9"/>
    <w:rsid w:val="00652124"/>
    <w:rsid w:val="00665DC1"/>
    <w:rsid w:val="006702DA"/>
    <w:rsid w:val="00671E37"/>
    <w:rsid w:val="00686266"/>
    <w:rsid w:val="006A76A9"/>
    <w:rsid w:val="006B1EF1"/>
    <w:rsid w:val="006C7811"/>
    <w:rsid w:val="006D10D2"/>
    <w:rsid w:val="006E6A76"/>
    <w:rsid w:val="00700C15"/>
    <w:rsid w:val="00703E5B"/>
    <w:rsid w:val="007067A1"/>
    <w:rsid w:val="00712A4E"/>
    <w:rsid w:val="007150DA"/>
    <w:rsid w:val="00744608"/>
    <w:rsid w:val="00746A71"/>
    <w:rsid w:val="0076482B"/>
    <w:rsid w:val="00773C4B"/>
    <w:rsid w:val="007A6CAA"/>
    <w:rsid w:val="007D4D8D"/>
    <w:rsid w:val="007F23AD"/>
    <w:rsid w:val="00801764"/>
    <w:rsid w:val="00801D1E"/>
    <w:rsid w:val="008253CD"/>
    <w:rsid w:val="0084652B"/>
    <w:rsid w:val="008702AA"/>
    <w:rsid w:val="00871AAF"/>
    <w:rsid w:val="008837FC"/>
    <w:rsid w:val="00884D61"/>
    <w:rsid w:val="00896942"/>
    <w:rsid w:val="008A43B3"/>
    <w:rsid w:val="008A58BB"/>
    <w:rsid w:val="008B1AD1"/>
    <w:rsid w:val="008B1B7C"/>
    <w:rsid w:val="008E02EA"/>
    <w:rsid w:val="00916FE4"/>
    <w:rsid w:val="0093692C"/>
    <w:rsid w:val="0094374C"/>
    <w:rsid w:val="00943E03"/>
    <w:rsid w:val="00944EC8"/>
    <w:rsid w:val="0094543E"/>
    <w:rsid w:val="009455C3"/>
    <w:rsid w:val="00945A0D"/>
    <w:rsid w:val="00945B45"/>
    <w:rsid w:val="00946AF4"/>
    <w:rsid w:val="00950845"/>
    <w:rsid w:val="00984EAE"/>
    <w:rsid w:val="0099644E"/>
    <w:rsid w:val="009D0022"/>
    <w:rsid w:val="009E5752"/>
    <w:rsid w:val="009E74D7"/>
    <w:rsid w:val="00A04B8F"/>
    <w:rsid w:val="00A059FC"/>
    <w:rsid w:val="00A206E6"/>
    <w:rsid w:val="00A26B10"/>
    <w:rsid w:val="00A33F92"/>
    <w:rsid w:val="00A36F5D"/>
    <w:rsid w:val="00A41E80"/>
    <w:rsid w:val="00A479BD"/>
    <w:rsid w:val="00A54E31"/>
    <w:rsid w:val="00A57368"/>
    <w:rsid w:val="00A62016"/>
    <w:rsid w:val="00A66979"/>
    <w:rsid w:val="00A70973"/>
    <w:rsid w:val="00A74948"/>
    <w:rsid w:val="00A81912"/>
    <w:rsid w:val="00AE56A8"/>
    <w:rsid w:val="00AE5F90"/>
    <w:rsid w:val="00B471F8"/>
    <w:rsid w:val="00B637C2"/>
    <w:rsid w:val="00B71356"/>
    <w:rsid w:val="00B744B0"/>
    <w:rsid w:val="00B77FA8"/>
    <w:rsid w:val="00B830A5"/>
    <w:rsid w:val="00BB6A14"/>
    <w:rsid w:val="00BD41C3"/>
    <w:rsid w:val="00BE2076"/>
    <w:rsid w:val="00C14799"/>
    <w:rsid w:val="00C9304C"/>
    <w:rsid w:val="00C97EE0"/>
    <w:rsid w:val="00CC04CD"/>
    <w:rsid w:val="00CF4AC7"/>
    <w:rsid w:val="00D07C96"/>
    <w:rsid w:val="00D24BA1"/>
    <w:rsid w:val="00D4711C"/>
    <w:rsid w:val="00D51580"/>
    <w:rsid w:val="00D761B0"/>
    <w:rsid w:val="00D85F7D"/>
    <w:rsid w:val="00D97AF0"/>
    <w:rsid w:val="00DA47C0"/>
    <w:rsid w:val="00E42E75"/>
    <w:rsid w:val="00E47161"/>
    <w:rsid w:val="00E53077"/>
    <w:rsid w:val="00F0299D"/>
    <w:rsid w:val="00F501E0"/>
    <w:rsid w:val="00F73BC2"/>
    <w:rsid w:val="00F95362"/>
    <w:rsid w:val="00FB5FCB"/>
    <w:rsid w:val="00FD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4998E"/>
  <w15:docId w15:val="{5849AE35-9A6F-4242-9039-DA6F2333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F90"/>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E5F90"/>
  </w:style>
  <w:style w:type="character" w:styleId="CommentReference">
    <w:name w:val="annotation reference"/>
    <w:basedOn w:val="DefaultParagraphFont"/>
    <w:semiHidden/>
    <w:rsid w:val="00AE5F90"/>
    <w:rPr>
      <w:rFonts w:cs="Times New Roman"/>
      <w:sz w:val="16"/>
      <w:szCs w:val="16"/>
    </w:rPr>
  </w:style>
  <w:style w:type="paragraph" w:styleId="CommentText">
    <w:name w:val="annotation text"/>
    <w:basedOn w:val="Normal"/>
    <w:link w:val="CommentTextChar"/>
    <w:semiHidden/>
    <w:rsid w:val="00AE5F90"/>
  </w:style>
  <w:style w:type="character" w:customStyle="1" w:styleId="CommentTextChar">
    <w:name w:val="Comment Text Char"/>
    <w:basedOn w:val="DefaultParagraphFont"/>
    <w:link w:val="CommentText"/>
    <w:locked/>
    <w:rsid w:val="00AE5F90"/>
    <w:rPr>
      <w:rFonts w:ascii="CG Times" w:hAnsi="CG Times"/>
      <w:sz w:val="24"/>
      <w:lang w:val="en-US" w:eastAsia="en-US" w:bidi="ar-SA"/>
    </w:rPr>
  </w:style>
  <w:style w:type="paragraph" w:styleId="BalloonText">
    <w:name w:val="Balloon Text"/>
    <w:basedOn w:val="Normal"/>
    <w:link w:val="BalloonTextChar"/>
    <w:rsid w:val="00AE5F90"/>
    <w:rPr>
      <w:rFonts w:ascii="Tahoma" w:hAnsi="Tahoma" w:cs="Tahoma"/>
      <w:sz w:val="16"/>
      <w:szCs w:val="16"/>
    </w:rPr>
  </w:style>
  <w:style w:type="paragraph" w:styleId="EndnoteText">
    <w:name w:val="endnote text"/>
    <w:basedOn w:val="Normal"/>
    <w:link w:val="EndnoteTextChar"/>
    <w:semiHidden/>
    <w:rsid w:val="00444353"/>
  </w:style>
  <w:style w:type="character" w:customStyle="1" w:styleId="EndnoteTextChar">
    <w:name w:val="Endnote Text Char"/>
    <w:basedOn w:val="DefaultParagraphFont"/>
    <w:link w:val="EndnoteText"/>
    <w:semiHidden/>
    <w:rsid w:val="00444353"/>
    <w:rPr>
      <w:rFonts w:ascii="CG Times" w:hAnsi="CG Times"/>
      <w:sz w:val="24"/>
    </w:rPr>
  </w:style>
  <w:style w:type="character" w:styleId="EndnoteReference">
    <w:name w:val="endnote reference"/>
    <w:basedOn w:val="DefaultParagraphFont"/>
    <w:semiHidden/>
    <w:rsid w:val="00444353"/>
    <w:rPr>
      <w:vertAlign w:val="superscript"/>
    </w:rPr>
  </w:style>
  <w:style w:type="paragraph" w:styleId="FootnoteText">
    <w:name w:val="footnote text"/>
    <w:basedOn w:val="Normal"/>
    <w:link w:val="FootnoteTextChar"/>
    <w:semiHidden/>
    <w:rsid w:val="00444353"/>
  </w:style>
  <w:style w:type="character" w:customStyle="1" w:styleId="FootnoteTextChar">
    <w:name w:val="Footnote Text Char"/>
    <w:basedOn w:val="DefaultParagraphFont"/>
    <w:link w:val="FootnoteText"/>
    <w:semiHidden/>
    <w:rsid w:val="00444353"/>
    <w:rPr>
      <w:rFonts w:ascii="CG Times" w:hAnsi="CG Times"/>
      <w:sz w:val="24"/>
    </w:rPr>
  </w:style>
  <w:style w:type="character" w:styleId="FootnoteReference">
    <w:name w:val="footnote reference"/>
    <w:basedOn w:val="DefaultParagraphFont"/>
    <w:semiHidden/>
    <w:rsid w:val="00444353"/>
    <w:rPr>
      <w:vertAlign w:val="superscript"/>
    </w:rPr>
  </w:style>
  <w:style w:type="paragraph" w:styleId="TOC1">
    <w:name w:val="toc 1"/>
    <w:basedOn w:val="Normal"/>
    <w:next w:val="Normal"/>
    <w:semiHidden/>
    <w:rsid w:val="00444353"/>
    <w:pPr>
      <w:tabs>
        <w:tab w:val="right" w:leader="dot" w:pos="9360"/>
      </w:tabs>
      <w:suppressAutoHyphens/>
      <w:spacing w:before="480"/>
      <w:ind w:left="720" w:right="720" w:hanging="720"/>
    </w:pPr>
  </w:style>
  <w:style w:type="paragraph" w:styleId="TOC2">
    <w:name w:val="toc 2"/>
    <w:basedOn w:val="Normal"/>
    <w:next w:val="Normal"/>
    <w:semiHidden/>
    <w:rsid w:val="00444353"/>
    <w:pPr>
      <w:tabs>
        <w:tab w:val="right" w:leader="dot" w:pos="9360"/>
      </w:tabs>
      <w:suppressAutoHyphens/>
      <w:ind w:left="1440" w:right="720" w:hanging="720"/>
    </w:pPr>
  </w:style>
  <w:style w:type="paragraph" w:styleId="TOC3">
    <w:name w:val="toc 3"/>
    <w:basedOn w:val="Normal"/>
    <w:next w:val="Normal"/>
    <w:semiHidden/>
    <w:rsid w:val="00444353"/>
    <w:pPr>
      <w:tabs>
        <w:tab w:val="right" w:leader="dot" w:pos="9360"/>
      </w:tabs>
      <w:suppressAutoHyphens/>
      <w:ind w:left="2160" w:right="720" w:hanging="720"/>
    </w:pPr>
  </w:style>
  <w:style w:type="paragraph" w:styleId="TOC4">
    <w:name w:val="toc 4"/>
    <w:basedOn w:val="Normal"/>
    <w:next w:val="Normal"/>
    <w:semiHidden/>
    <w:rsid w:val="00444353"/>
    <w:pPr>
      <w:tabs>
        <w:tab w:val="right" w:leader="dot" w:pos="9360"/>
      </w:tabs>
      <w:suppressAutoHyphens/>
      <w:ind w:left="2880" w:right="720" w:hanging="720"/>
    </w:pPr>
  </w:style>
  <w:style w:type="paragraph" w:styleId="TOC5">
    <w:name w:val="toc 5"/>
    <w:basedOn w:val="Normal"/>
    <w:next w:val="Normal"/>
    <w:semiHidden/>
    <w:rsid w:val="00444353"/>
    <w:pPr>
      <w:tabs>
        <w:tab w:val="right" w:leader="dot" w:pos="9360"/>
      </w:tabs>
      <w:suppressAutoHyphens/>
      <w:ind w:left="3600" w:right="720" w:hanging="720"/>
    </w:pPr>
  </w:style>
  <w:style w:type="paragraph" w:styleId="TOC6">
    <w:name w:val="toc 6"/>
    <w:basedOn w:val="Normal"/>
    <w:next w:val="Normal"/>
    <w:semiHidden/>
    <w:rsid w:val="00444353"/>
    <w:pPr>
      <w:tabs>
        <w:tab w:val="right" w:pos="9360"/>
      </w:tabs>
      <w:suppressAutoHyphens/>
      <w:ind w:left="720" w:hanging="720"/>
    </w:pPr>
  </w:style>
  <w:style w:type="paragraph" w:styleId="TOC7">
    <w:name w:val="toc 7"/>
    <w:basedOn w:val="Normal"/>
    <w:next w:val="Normal"/>
    <w:semiHidden/>
    <w:rsid w:val="00444353"/>
    <w:pPr>
      <w:suppressAutoHyphens/>
      <w:ind w:left="720" w:hanging="720"/>
    </w:pPr>
  </w:style>
  <w:style w:type="paragraph" w:styleId="TOC8">
    <w:name w:val="toc 8"/>
    <w:basedOn w:val="Normal"/>
    <w:next w:val="Normal"/>
    <w:semiHidden/>
    <w:rsid w:val="00444353"/>
    <w:pPr>
      <w:tabs>
        <w:tab w:val="right" w:pos="9360"/>
      </w:tabs>
      <w:suppressAutoHyphens/>
      <w:ind w:left="720" w:hanging="720"/>
    </w:pPr>
  </w:style>
  <w:style w:type="paragraph" w:styleId="TOC9">
    <w:name w:val="toc 9"/>
    <w:basedOn w:val="Normal"/>
    <w:next w:val="Normal"/>
    <w:semiHidden/>
    <w:rsid w:val="00444353"/>
    <w:pPr>
      <w:tabs>
        <w:tab w:val="right" w:leader="dot" w:pos="9360"/>
      </w:tabs>
      <w:suppressAutoHyphens/>
      <w:ind w:left="720" w:hanging="720"/>
    </w:pPr>
  </w:style>
  <w:style w:type="paragraph" w:styleId="Index1">
    <w:name w:val="index 1"/>
    <w:basedOn w:val="Normal"/>
    <w:next w:val="Normal"/>
    <w:semiHidden/>
    <w:rsid w:val="00444353"/>
    <w:pPr>
      <w:tabs>
        <w:tab w:val="right" w:leader="dot" w:pos="9360"/>
      </w:tabs>
      <w:suppressAutoHyphens/>
      <w:ind w:left="1440" w:right="720" w:hanging="1440"/>
    </w:pPr>
  </w:style>
  <w:style w:type="paragraph" w:styleId="Index2">
    <w:name w:val="index 2"/>
    <w:basedOn w:val="Normal"/>
    <w:next w:val="Normal"/>
    <w:semiHidden/>
    <w:rsid w:val="00444353"/>
    <w:pPr>
      <w:tabs>
        <w:tab w:val="right" w:leader="dot" w:pos="9360"/>
      </w:tabs>
      <w:suppressAutoHyphens/>
      <w:ind w:left="1440" w:right="720" w:hanging="720"/>
    </w:pPr>
  </w:style>
  <w:style w:type="paragraph" w:styleId="TOAHeading">
    <w:name w:val="toa heading"/>
    <w:basedOn w:val="Normal"/>
    <w:next w:val="Normal"/>
    <w:semiHidden/>
    <w:rsid w:val="00444353"/>
    <w:pPr>
      <w:tabs>
        <w:tab w:val="right" w:pos="9360"/>
      </w:tabs>
      <w:suppressAutoHyphens/>
    </w:pPr>
  </w:style>
  <w:style w:type="character" w:customStyle="1" w:styleId="EquationCaption">
    <w:name w:val="_Equation Caption"/>
    <w:rsid w:val="00444353"/>
  </w:style>
  <w:style w:type="character" w:customStyle="1" w:styleId="BalloonTextChar">
    <w:name w:val="Balloon Text Char"/>
    <w:basedOn w:val="DefaultParagraphFont"/>
    <w:link w:val="BalloonText"/>
    <w:rsid w:val="00444353"/>
    <w:rPr>
      <w:rFonts w:ascii="Tahoma" w:hAnsi="Tahoma" w:cs="Tahoma"/>
      <w:sz w:val="16"/>
      <w:szCs w:val="16"/>
    </w:rPr>
  </w:style>
  <w:style w:type="paragraph" w:styleId="ListParagraph">
    <w:name w:val="List Paragraph"/>
    <w:basedOn w:val="Normal"/>
    <w:qFormat/>
    <w:rsid w:val="00444353"/>
    <w:pPr>
      <w:widowControl/>
      <w:overflowPunct/>
      <w:autoSpaceDE/>
      <w:autoSpaceDN/>
      <w:adjustRightInd/>
      <w:ind w:left="720"/>
      <w:textAlignment w:val="auto"/>
    </w:pPr>
    <w:rPr>
      <w:rFonts w:ascii="Univers (W1)" w:hAnsi="Univers (W1)"/>
    </w:rPr>
  </w:style>
  <w:style w:type="paragraph" w:styleId="Header">
    <w:name w:val="header"/>
    <w:basedOn w:val="Normal"/>
    <w:link w:val="HeaderChar"/>
    <w:rsid w:val="00444353"/>
    <w:pPr>
      <w:tabs>
        <w:tab w:val="center" w:pos="4680"/>
        <w:tab w:val="right" w:pos="9360"/>
      </w:tabs>
    </w:pPr>
  </w:style>
  <w:style w:type="character" w:customStyle="1" w:styleId="HeaderChar">
    <w:name w:val="Header Char"/>
    <w:basedOn w:val="DefaultParagraphFont"/>
    <w:link w:val="Header"/>
    <w:rsid w:val="00444353"/>
    <w:rPr>
      <w:rFonts w:ascii="CG Times" w:hAnsi="CG Times"/>
      <w:sz w:val="24"/>
    </w:rPr>
  </w:style>
  <w:style w:type="paragraph" w:styleId="Footer">
    <w:name w:val="footer"/>
    <w:basedOn w:val="Normal"/>
    <w:link w:val="FooterChar"/>
    <w:rsid w:val="00444353"/>
    <w:pPr>
      <w:tabs>
        <w:tab w:val="center" w:pos="4680"/>
        <w:tab w:val="right" w:pos="9360"/>
      </w:tabs>
    </w:pPr>
  </w:style>
  <w:style w:type="character" w:customStyle="1" w:styleId="FooterChar">
    <w:name w:val="Footer Char"/>
    <w:basedOn w:val="DefaultParagraphFont"/>
    <w:link w:val="Footer"/>
    <w:rsid w:val="00444353"/>
    <w:rPr>
      <w:rFonts w:ascii="CG Times" w:hAnsi="CG Times"/>
      <w:sz w:val="24"/>
    </w:rPr>
  </w:style>
  <w:style w:type="character" w:styleId="Hyperlink">
    <w:name w:val="Hyperlink"/>
    <w:basedOn w:val="DefaultParagraphFont"/>
    <w:uiPriority w:val="99"/>
    <w:unhideWhenUsed/>
    <w:rsid w:val="00E42E75"/>
    <w:rPr>
      <w:color w:val="0000FF" w:themeColor="hyperlink"/>
      <w:u w:val="single"/>
    </w:rPr>
  </w:style>
  <w:style w:type="paragraph" w:styleId="Revision">
    <w:name w:val="Revision"/>
    <w:hidden/>
    <w:uiPriority w:val="99"/>
    <w:semiHidden/>
    <w:rsid w:val="00395EAE"/>
    <w:rPr>
      <w:rFonts w:ascii="CG Times" w:hAnsi="CG Times"/>
      <w:sz w:val="24"/>
    </w:rPr>
  </w:style>
  <w:style w:type="character" w:styleId="FollowedHyperlink">
    <w:name w:val="FollowedHyperlink"/>
    <w:basedOn w:val="DefaultParagraphFont"/>
    <w:uiPriority w:val="99"/>
    <w:semiHidden/>
    <w:unhideWhenUsed/>
    <w:rsid w:val="00395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669475">
      <w:bodyDiv w:val="1"/>
      <w:marLeft w:val="0"/>
      <w:marRight w:val="0"/>
      <w:marTop w:val="0"/>
      <w:marBottom w:val="0"/>
      <w:divBdr>
        <w:top w:val="none" w:sz="0" w:space="0" w:color="auto"/>
        <w:left w:val="none" w:sz="0" w:space="0" w:color="auto"/>
        <w:bottom w:val="none" w:sz="0" w:space="0" w:color="auto"/>
        <w:right w:val="none" w:sz="0" w:space="0" w:color="auto"/>
      </w:divBdr>
      <w:divsChild>
        <w:div w:id="139084260">
          <w:marLeft w:val="0"/>
          <w:marRight w:val="0"/>
          <w:marTop w:val="0"/>
          <w:marBottom w:val="450"/>
          <w:divBdr>
            <w:top w:val="none" w:sz="0" w:space="0" w:color="auto"/>
            <w:left w:val="none" w:sz="0" w:space="0" w:color="auto"/>
            <w:bottom w:val="none" w:sz="0" w:space="0" w:color="auto"/>
            <w:right w:val="none" w:sz="0" w:space="0" w:color="auto"/>
          </w:divBdr>
          <w:divsChild>
            <w:div w:id="309599805">
              <w:marLeft w:val="0"/>
              <w:marRight w:val="0"/>
              <w:marTop w:val="0"/>
              <w:marBottom w:val="0"/>
              <w:divBdr>
                <w:top w:val="none" w:sz="0" w:space="0" w:color="auto"/>
                <w:left w:val="none" w:sz="0" w:space="0" w:color="auto"/>
                <w:bottom w:val="none" w:sz="0" w:space="0" w:color="auto"/>
                <w:right w:val="none" w:sz="0" w:space="0" w:color="auto"/>
              </w:divBdr>
              <w:divsChild>
                <w:div w:id="761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ighton.edu/fileadmin/user/AdminFinance/Controller/docs/Forms/Asset_Disposal_Form.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reighton.edu/fileadmin/user/AdminFinance/Controller/docs/Forms/Asset_Disposal_Form.pdf" TargetMode="External"/><Relationship Id="rId4" Type="http://schemas.openxmlformats.org/officeDocument/2006/relationships/settings" Target="settings.xml"/><Relationship Id="rId9" Type="http://schemas.openxmlformats.org/officeDocument/2006/relationships/hyperlink" Target="http://www.creighton.edu/fileadmin/user/AdminFinance/Purchasing/docs/4_6.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6B9B2-5A49-4CDA-A545-20D935A6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1013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vt:lpstr>
    </vt:vector>
  </TitlesOfParts>
  <Company>Creighton University</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Lange, Jodi L.</dc:creator>
  <cp:lastModifiedBy>Holt, Jenn D</cp:lastModifiedBy>
  <cp:revision>9</cp:revision>
  <cp:lastPrinted>2015-03-30T17:19:00Z</cp:lastPrinted>
  <dcterms:created xsi:type="dcterms:W3CDTF">2023-04-19T17:20:00Z</dcterms:created>
  <dcterms:modified xsi:type="dcterms:W3CDTF">2023-05-02T19:27:00Z</dcterms:modified>
</cp:coreProperties>
</file>